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9754A">
      <w:pPr>
        <w:spacing w:line="360" w:lineRule="auto"/>
        <w:jc w:val="center"/>
        <w:rPr>
          <w:rFonts w:hint="eastAsia" w:ascii="宋体" w:hAnsi="宋体" w:eastAsia="宋体" w:cs="宋体"/>
          <w:b/>
          <w:bCs w:val="0"/>
          <w:color w:val="auto"/>
          <w:sz w:val="32"/>
          <w:szCs w:val="32"/>
        </w:rPr>
      </w:pPr>
      <w:r>
        <w:rPr>
          <w:rFonts w:hint="eastAsia" w:ascii="宋体" w:hAnsi="宋体" w:cs="宋体"/>
          <w:b/>
          <w:bCs w:val="0"/>
          <w:color w:val="auto"/>
          <w:sz w:val="32"/>
          <w:szCs w:val="32"/>
          <w:lang w:eastAsia="zh-CN"/>
        </w:rPr>
        <w:t>福建省肿瘤医院外科楼11号电梯井道改造项目</w:t>
      </w:r>
      <w:r>
        <w:rPr>
          <w:rFonts w:hint="eastAsia" w:ascii="宋体" w:hAnsi="宋体" w:eastAsia="宋体" w:cs="宋体"/>
          <w:b/>
          <w:bCs w:val="0"/>
          <w:color w:val="auto"/>
          <w:sz w:val="32"/>
          <w:szCs w:val="32"/>
        </w:rPr>
        <w:t>招标文件</w:t>
      </w:r>
    </w:p>
    <w:p w14:paraId="1C2A5DB7">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一、招标项目概况和范围</w:t>
      </w:r>
    </w:p>
    <w:p w14:paraId="5C48CD2D">
      <w:pPr>
        <w:pStyle w:val="53"/>
        <w:widowControl/>
        <w:numPr>
          <w:ilvl w:val="0"/>
          <w:numId w:val="2"/>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项目名称：</w:t>
      </w:r>
      <w:r>
        <w:rPr>
          <w:rFonts w:hint="eastAsia" w:ascii="宋体" w:hAnsi="宋体" w:cs="宋体"/>
          <w:bCs/>
          <w:color w:val="auto"/>
          <w:sz w:val="24"/>
          <w:szCs w:val="24"/>
          <w:lang w:eastAsia="zh-CN"/>
        </w:rPr>
        <w:t>福建省肿瘤医院外科楼11号电梯井道改造项目</w:t>
      </w:r>
    </w:p>
    <w:p w14:paraId="1A5F8FA9">
      <w:pPr>
        <w:pStyle w:val="53"/>
        <w:widowControl/>
        <w:numPr>
          <w:ilvl w:val="0"/>
          <w:numId w:val="2"/>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项目地点：福马路420号。</w:t>
      </w:r>
    </w:p>
    <w:p w14:paraId="5B3EC0D7">
      <w:pPr>
        <w:pStyle w:val="53"/>
        <w:widowControl/>
        <w:numPr>
          <w:ilvl w:val="0"/>
          <w:numId w:val="2"/>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招标范围和内容：见附件。</w:t>
      </w:r>
    </w:p>
    <w:p w14:paraId="12E31D82">
      <w:pPr>
        <w:pStyle w:val="53"/>
        <w:widowControl/>
        <w:numPr>
          <w:ilvl w:val="0"/>
          <w:numId w:val="2"/>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预算价：</w:t>
      </w:r>
      <w:r>
        <w:rPr>
          <w:rFonts w:hint="eastAsia" w:ascii="宋体" w:hAnsi="宋体" w:cs="宋体"/>
          <w:bCs/>
          <w:color w:val="auto"/>
          <w:sz w:val="24"/>
          <w:szCs w:val="24"/>
          <w:lang w:val="en-US" w:eastAsia="zh-CN"/>
        </w:rPr>
        <w:t>29</w:t>
      </w:r>
      <w:r>
        <w:rPr>
          <w:rFonts w:hint="eastAsia" w:ascii="宋体" w:hAnsi="宋体" w:eastAsia="宋体" w:cs="宋体"/>
          <w:bCs/>
          <w:color w:val="auto"/>
          <w:sz w:val="24"/>
          <w:szCs w:val="24"/>
        </w:rPr>
        <w:t>万元。</w:t>
      </w:r>
    </w:p>
    <w:p w14:paraId="075E94BE">
      <w:pPr>
        <w:pStyle w:val="53"/>
        <w:widowControl/>
        <w:numPr>
          <w:ilvl w:val="0"/>
          <w:numId w:val="2"/>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工程报价方式: 固定</w:t>
      </w:r>
      <w:r>
        <w:rPr>
          <w:rFonts w:hint="eastAsia" w:ascii="宋体" w:hAnsi="宋体" w:eastAsia="宋体" w:cs="宋体"/>
          <w:bCs/>
          <w:color w:val="auto"/>
          <w:sz w:val="24"/>
          <w:szCs w:val="24"/>
          <w:lang w:val="en-US" w:eastAsia="zh-CN"/>
        </w:rPr>
        <w:t>总价</w:t>
      </w:r>
      <w:r>
        <w:rPr>
          <w:rFonts w:hint="eastAsia" w:ascii="宋体" w:hAnsi="宋体" w:eastAsia="宋体" w:cs="宋体"/>
          <w:bCs/>
          <w:color w:val="auto"/>
          <w:sz w:val="24"/>
          <w:szCs w:val="24"/>
          <w:lang w:eastAsia="zh-CN"/>
        </w:rPr>
        <w:t>。</w:t>
      </w:r>
    </w:p>
    <w:p w14:paraId="0078A2FA">
      <w:pPr>
        <w:pStyle w:val="53"/>
        <w:widowControl/>
        <w:numPr>
          <w:ilvl w:val="0"/>
          <w:numId w:val="2"/>
        </w:numPr>
        <w:spacing w:before="150" w:line="360" w:lineRule="auto"/>
        <w:ind w:firstLineChars="0"/>
        <w:rPr>
          <w:rFonts w:hint="eastAsia" w:ascii="宋体" w:hAnsi="宋体" w:eastAsia="宋体" w:cs="宋体"/>
          <w:bCs/>
          <w:color w:val="auto"/>
          <w:sz w:val="24"/>
          <w:szCs w:val="24"/>
        </w:rPr>
      </w:pPr>
      <w:r>
        <w:rPr>
          <w:rFonts w:hint="eastAsia" w:ascii="宋体" w:hAnsi="宋体" w:cs="宋体"/>
          <w:bCs/>
          <w:color w:val="auto"/>
          <w:sz w:val="24"/>
          <w:szCs w:val="24"/>
          <w:lang w:val="en-US" w:eastAsia="zh-CN"/>
        </w:rPr>
        <w:t>质保期：2年。</w:t>
      </w:r>
    </w:p>
    <w:p w14:paraId="7C477B35">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二、投标人资格要求及审查办法 </w:t>
      </w:r>
    </w:p>
    <w:p w14:paraId="40B75980">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满足《中华人民共和国政府采购法》第二十二条规定。</w:t>
      </w:r>
    </w:p>
    <w:p w14:paraId="3EE80F31">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落实政府采购政策需满足的资格要求。</w:t>
      </w:r>
    </w:p>
    <w:p w14:paraId="0F780EBA">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委托代表人资格证明书（附法人及委托人身份证）。</w:t>
      </w:r>
    </w:p>
    <w:p w14:paraId="3B76ADCB">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依法缴纳税收的相关材料（税务机构出具的投标人在报价截止前六个月任意一个月的依法缴纳税收的证明，或者提交从税务机构网上下载的依法缴纳税收情况证明）和依法缴纳社会保障资金的相关材料（报价截止前六个月任意一个月社保机构出具的社保缴费证明并加盖证明专用章，或者提交从社保机构网上下载的社保缴交情况证明）</w:t>
      </w:r>
    </w:p>
    <w:p w14:paraId="45C6D472">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投标人必须具有有效的建设行政主管部门颁发的三级及以上房屋建筑施工总承包企业资质或工程专业承包三级及以上资质。</w:t>
      </w:r>
    </w:p>
    <w:p w14:paraId="21F9B261">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投标人必须具有建设行政主管部门颁发的有效的安全生产许可证。</w:t>
      </w:r>
    </w:p>
    <w:p w14:paraId="60D463E4">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参加本次活动前三年内，在经营活动中没有重大违法违规记录的承诺。</w:t>
      </w:r>
    </w:p>
    <w:p w14:paraId="02F2A6D1">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资格审查采用方式：资格后审。</w:t>
      </w:r>
    </w:p>
    <w:p w14:paraId="39F7AA9D">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本招标项目不接受联合体投标，不接受备选投标方案，不允许分包。</w:t>
      </w:r>
    </w:p>
    <w:p w14:paraId="35ECD062">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投标人应通过“信用中国（</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"http://www.creditchina.gov.cn/" </w:instrText>
      </w:r>
      <w:r>
        <w:rPr>
          <w:rFonts w:hint="eastAsia" w:ascii="宋体" w:hAnsi="宋体" w:eastAsia="宋体" w:cs="宋体"/>
          <w:color w:val="auto"/>
          <w:sz w:val="24"/>
          <w:szCs w:val="24"/>
        </w:rPr>
        <w:fldChar w:fldCharType="separate"/>
      </w:r>
      <w:r>
        <w:rPr>
          <w:rFonts w:hint="eastAsia" w:ascii="宋体" w:hAnsi="宋体" w:eastAsia="宋体" w:cs="宋体"/>
          <w:bCs/>
          <w:color w:val="auto"/>
          <w:sz w:val="24"/>
          <w:szCs w:val="24"/>
        </w:rPr>
        <w:t>www.creditchina.gov.cn</w:t>
      </w:r>
      <w:r>
        <w:rPr>
          <w:rFonts w:hint="eastAsia" w:ascii="宋体" w:hAnsi="宋体" w:eastAsia="宋体" w:cs="宋体"/>
          <w:bCs/>
          <w:color w:val="auto"/>
          <w:sz w:val="24"/>
          <w:szCs w:val="24"/>
        </w:rPr>
        <w:fldChar w:fldCharType="end"/>
      </w:r>
      <w:r>
        <w:rPr>
          <w:rFonts w:hint="eastAsia" w:ascii="宋体" w:hAnsi="宋体" w:eastAsia="宋体" w:cs="宋体"/>
          <w:bCs/>
          <w:color w:val="auto"/>
          <w:sz w:val="24"/>
          <w:szCs w:val="24"/>
        </w:rPr>
        <w:t>)”、“中国政府采购网(</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"http://www.ccgp.gov.cn" </w:instrText>
      </w:r>
      <w:r>
        <w:rPr>
          <w:rFonts w:hint="eastAsia" w:ascii="宋体" w:hAnsi="宋体" w:eastAsia="宋体" w:cs="宋体"/>
          <w:color w:val="auto"/>
          <w:sz w:val="24"/>
          <w:szCs w:val="24"/>
        </w:rPr>
        <w:fldChar w:fldCharType="separate"/>
      </w:r>
      <w:r>
        <w:rPr>
          <w:rFonts w:hint="eastAsia" w:ascii="宋体" w:hAnsi="宋体" w:eastAsia="宋体" w:cs="宋体"/>
          <w:bCs/>
          <w:color w:val="auto"/>
          <w:sz w:val="24"/>
          <w:szCs w:val="24"/>
        </w:rPr>
        <w:t>www.ccgp.gov.cn</w:t>
      </w:r>
      <w:r>
        <w:rPr>
          <w:rFonts w:hint="eastAsia" w:ascii="宋体" w:hAnsi="宋体" w:eastAsia="宋体" w:cs="宋体"/>
          <w:bCs/>
          <w:color w:val="auto"/>
          <w:sz w:val="24"/>
          <w:szCs w:val="24"/>
        </w:rPr>
        <w:fldChar w:fldCharType="end"/>
      </w:r>
      <w:r>
        <w:rPr>
          <w:rFonts w:hint="eastAsia" w:ascii="宋体" w:hAnsi="宋体" w:eastAsia="宋体" w:cs="宋体"/>
          <w:bCs/>
          <w:color w:val="auto"/>
          <w:sz w:val="24"/>
          <w:szCs w:val="24"/>
        </w:rPr>
        <w:t>)”查询并打印相应的信用记录。</w:t>
      </w:r>
    </w:p>
    <w:p w14:paraId="2868C09A">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投标人应对投标文件资料的真实性负责，招标人在授予合同之前有权对其投标文件资料进行核实，如发现所提交的资料不真实，招标人将视其为以弄虚作假方式骗取中标，其中标无效，若给招标人造成损失的，应依法承担赔偿责任，并列入医院</w:t>
      </w:r>
      <w:r>
        <w:rPr>
          <w:rFonts w:hint="eastAsia" w:ascii="宋体" w:hAnsi="宋体" w:eastAsia="宋体" w:cs="宋体"/>
          <w:bCs/>
          <w:color w:val="auto"/>
          <w:sz w:val="24"/>
          <w:szCs w:val="24"/>
          <w:lang w:eastAsia="zh-CN"/>
        </w:rPr>
        <w:t>承包人</w:t>
      </w:r>
      <w:r>
        <w:rPr>
          <w:rFonts w:hint="eastAsia" w:ascii="宋体" w:hAnsi="宋体" w:eastAsia="宋体" w:cs="宋体"/>
          <w:bCs/>
          <w:color w:val="auto"/>
          <w:sz w:val="24"/>
          <w:szCs w:val="24"/>
        </w:rPr>
        <w:t>黑名单，院方有权在今后采购活动中拒绝接受其投标材料。</w:t>
      </w:r>
    </w:p>
    <w:p w14:paraId="01CF5719">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本项目专门面向中、小、微企业采购。</w:t>
      </w:r>
    </w:p>
    <w:p w14:paraId="7D34FE2F">
      <w:pPr>
        <w:pStyle w:val="53"/>
        <w:widowControl/>
        <w:numPr>
          <w:ilvl w:val="0"/>
          <w:numId w:val="3"/>
        </w:numPr>
        <w:spacing w:before="150" w:line="360" w:lineRule="auto"/>
        <w:ind w:firstLineChars="0"/>
        <w:rPr>
          <w:rFonts w:hint="eastAsia" w:ascii="宋体" w:hAnsi="宋体" w:eastAsia="宋体" w:cs="宋体"/>
          <w:bCs/>
          <w:color w:val="auto"/>
          <w:sz w:val="24"/>
          <w:szCs w:val="24"/>
        </w:rPr>
      </w:pPr>
      <w:r>
        <w:rPr>
          <w:rFonts w:hint="eastAsia" w:ascii="宋体" w:hAnsi="宋体" w:cs="宋体"/>
          <w:bCs/>
          <w:color w:val="auto"/>
          <w:sz w:val="24"/>
          <w:szCs w:val="24"/>
          <w:lang w:val="en-US" w:eastAsia="zh-CN"/>
        </w:rPr>
        <w:t>提供无条件配合电梯设备安装的专项书面承诺。</w:t>
      </w:r>
      <w:bookmarkStart w:id="0" w:name="_GoBack"/>
      <w:bookmarkEnd w:id="0"/>
    </w:p>
    <w:p w14:paraId="2DC883F3">
      <w:pPr>
        <w:spacing w:before="150" w:line="360" w:lineRule="auto"/>
        <w:ind w:left="284"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上述提供材料均须加盖公章。</w:t>
      </w:r>
    </w:p>
    <w:p w14:paraId="35F76CEF">
      <w:pPr>
        <w:spacing w:before="150"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备注：本项目基本资格条件采取“信用承诺制”，投标人提供资格承诺函(格式详见附件)的即可参加采购活动，在投标文件中无需再提供财务状况报告、依法缴纳税收和社会保障资金的相关证明材料。投标人可自行选择是否提供资格承诺函，若不提供资格承诺函的，应按招标文件要求提供相应的证明材料。投标人应当遵循诚实信用原则，不得作虚假承诺，投标人承诺不实的，属于提供虚假材料谋取中标、成交，应依法承担相应的法律责任。</w:t>
      </w:r>
    </w:p>
    <w:p w14:paraId="21E341A0">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三、招标文件的获取</w:t>
      </w:r>
    </w:p>
    <w:p w14:paraId="6AA4A3C5">
      <w:pPr>
        <w:pStyle w:val="53"/>
        <w:widowControl/>
        <w:numPr>
          <w:ilvl w:val="0"/>
          <w:numId w:val="4"/>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本招标项目不采用电子招投标。</w:t>
      </w:r>
    </w:p>
    <w:p w14:paraId="29CB4D89">
      <w:pPr>
        <w:pStyle w:val="53"/>
        <w:widowControl/>
        <w:numPr>
          <w:ilvl w:val="0"/>
          <w:numId w:val="4"/>
        </w:numPr>
        <w:spacing w:before="150" w:line="360" w:lineRule="auto"/>
        <w:ind w:firstLineChars="0"/>
        <w:rPr>
          <w:rFonts w:hint="eastAsia" w:ascii="宋体" w:hAnsi="宋体" w:eastAsia="宋体" w:cs="宋体"/>
          <w:bCs/>
          <w:color w:val="auto"/>
          <w:sz w:val="24"/>
          <w:szCs w:val="24"/>
        </w:rPr>
      </w:pPr>
      <w:r>
        <w:rPr>
          <w:rFonts w:hint="eastAsia" w:ascii="宋体" w:hAnsi="宋体" w:eastAsia="宋体" w:cs="宋体"/>
          <w:bCs/>
          <w:color w:val="auto"/>
          <w:sz w:val="24"/>
          <w:szCs w:val="24"/>
        </w:rPr>
        <w:t>凡有意参加投标者应按照附件操作要求进行线上报名，报名文件提交截止时间2026年</w:t>
      </w:r>
      <w:r>
        <w:rPr>
          <w:rFonts w:hint="eastAsia" w:ascii="宋体" w:hAnsi="宋体" w:eastAsia="宋体" w:cs="宋体"/>
          <w:bCs/>
          <w:color w:val="auto"/>
          <w:sz w:val="24"/>
          <w:szCs w:val="24"/>
          <w:lang w:val="en-US" w:eastAsia="zh-CN"/>
        </w:rPr>
        <w:t>10</w:t>
      </w:r>
      <w:r>
        <w:rPr>
          <w:rFonts w:hint="eastAsia" w:ascii="宋体" w:hAnsi="宋体" w:eastAsia="宋体" w:cs="宋体"/>
          <w:bCs/>
          <w:color w:val="auto"/>
          <w:sz w:val="24"/>
          <w:szCs w:val="24"/>
        </w:rPr>
        <w:t>月</w:t>
      </w:r>
      <w:r>
        <w:rPr>
          <w:rFonts w:hint="eastAsia" w:ascii="宋体" w:hAnsi="宋体" w:eastAsia="宋体" w:cs="宋体"/>
          <w:bCs/>
          <w:color w:val="auto"/>
          <w:sz w:val="24"/>
          <w:szCs w:val="24"/>
          <w:lang w:val="en-US" w:eastAsia="zh-CN"/>
        </w:rPr>
        <w:t>12</w:t>
      </w:r>
      <w:r>
        <w:rPr>
          <w:rFonts w:hint="eastAsia" w:ascii="宋体" w:hAnsi="宋体" w:eastAsia="宋体" w:cs="宋体"/>
          <w:bCs/>
          <w:color w:val="auto"/>
          <w:sz w:val="24"/>
          <w:szCs w:val="24"/>
        </w:rPr>
        <w:t>日17：</w:t>
      </w:r>
      <w:r>
        <w:rPr>
          <w:rFonts w:hint="eastAsia" w:ascii="宋体" w:hAnsi="宋体" w:eastAsia="宋体" w:cs="宋体"/>
          <w:bCs/>
          <w:color w:val="auto"/>
          <w:sz w:val="24"/>
          <w:szCs w:val="24"/>
          <w:lang w:val="en-US" w:eastAsia="zh-CN"/>
        </w:rPr>
        <w:t>0</w:t>
      </w:r>
      <w:r>
        <w:rPr>
          <w:rFonts w:hint="eastAsia" w:ascii="宋体" w:hAnsi="宋体" w:eastAsia="宋体" w:cs="宋体"/>
          <w:bCs/>
          <w:color w:val="auto"/>
          <w:sz w:val="24"/>
          <w:szCs w:val="24"/>
        </w:rPr>
        <w:t>0，并可在福建省肿瘤医院官网（https://www.fjzl.com.cn）下载与本项目相关的</w:t>
      </w:r>
      <w:r>
        <w:rPr>
          <w:rFonts w:hint="eastAsia" w:ascii="宋体" w:hAnsi="宋体" w:eastAsia="宋体" w:cs="宋体"/>
          <w:bCs/>
          <w:color w:val="auto"/>
          <w:sz w:val="24"/>
          <w:szCs w:val="24"/>
          <w:lang w:val="en-US" w:eastAsia="zh-CN"/>
        </w:rPr>
        <w:t>招标</w:t>
      </w:r>
      <w:r>
        <w:rPr>
          <w:rFonts w:hint="eastAsia" w:ascii="宋体" w:hAnsi="宋体" w:eastAsia="宋体" w:cs="宋体"/>
          <w:bCs/>
          <w:color w:val="auto"/>
          <w:sz w:val="24"/>
          <w:szCs w:val="24"/>
        </w:rPr>
        <w:t>信息</w:t>
      </w:r>
    </w:p>
    <w:p w14:paraId="44E85F16">
      <w:pPr>
        <w:spacing w:before="150"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项目联系人：陈女士        联系电话：0591-62752801</w:t>
      </w:r>
    </w:p>
    <w:p w14:paraId="17BCBE64">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四、答疑截止时间</w:t>
      </w:r>
    </w:p>
    <w:p w14:paraId="00B28914">
      <w:pPr>
        <w:spacing w:before="150"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投标人若要求澄清招标文件，应在获取招标文件截止时间前提出，招标人将随时解答。</w:t>
      </w:r>
      <w:r>
        <w:rPr>
          <w:rFonts w:hint="eastAsia" w:ascii="宋体" w:hAnsi="宋体" w:eastAsia="宋体" w:cs="宋体"/>
          <w:bCs/>
          <w:color w:val="auto"/>
          <w:sz w:val="24"/>
          <w:szCs w:val="24"/>
        </w:rPr>
        <w:tab/>
      </w:r>
    </w:p>
    <w:p w14:paraId="5FAB71ED">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五、投标文件的要求及递交</w:t>
      </w:r>
    </w:p>
    <w:p w14:paraId="7242F3EC">
      <w:pPr>
        <w:widowControl/>
        <w:numPr>
          <w:ilvl w:val="0"/>
          <w:numId w:val="5"/>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投标文件正本</w:t>
      </w:r>
      <w:r>
        <w:rPr>
          <w:rFonts w:hint="eastAsia" w:ascii="宋体" w:hAnsi="宋体" w:eastAsia="宋体" w:cs="宋体"/>
          <w:bCs/>
          <w:color w:val="auto"/>
          <w:sz w:val="24"/>
          <w:szCs w:val="24"/>
          <w:u w:val="single"/>
        </w:rPr>
        <w:t>壹</w:t>
      </w:r>
      <w:r>
        <w:rPr>
          <w:rFonts w:hint="eastAsia" w:ascii="宋体" w:hAnsi="宋体" w:eastAsia="宋体" w:cs="宋体"/>
          <w:bCs/>
          <w:color w:val="auto"/>
          <w:sz w:val="24"/>
          <w:szCs w:val="24"/>
        </w:rPr>
        <w:t>份,副本</w:t>
      </w:r>
      <w:r>
        <w:rPr>
          <w:rFonts w:hint="eastAsia" w:ascii="宋体" w:hAnsi="宋体" w:eastAsia="宋体" w:cs="宋体"/>
          <w:bCs/>
          <w:color w:val="auto"/>
          <w:sz w:val="24"/>
          <w:szCs w:val="24"/>
          <w:u w:val="single"/>
        </w:rPr>
        <w:t>壹</w:t>
      </w:r>
      <w:r>
        <w:rPr>
          <w:rFonts w:hint="eastAsia" w:ascii="宋体" w:hAnsi="宋体" w:eastAsia="宋体" w:cs="宋体"/>
          <w:bCs/>
          <w:color w:val="auto"/>
          <w:sz w:val="24"/>
          <w:szCs w:val="24"/>
        </w:rPr>
        <w:t>份胶装并密封加盖投标人公章。投标文件未胶装密封将导致其投标文件被拒绝。</w:t>
      </w:r>
    </w:p>
    <w:p w14:paraId="263437E9">
      <w:pPr>
        <w:widowControl/>
        <w:numPr>
          <w:ilvl w:val="0"/>
          <w:numId w:val="5"/>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投标文件递交的截止时间： 202</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年</w:t>
      </w:r>
      <w:r>
        <w:rPr>
          <w:rFonts w:hint="eastAsia" w:ascii="宋体" w:hAnsi="宋体" w:eastAsia="宋体" w:cs="宋体"/>
          <w:bCs/>
          <w:color w:val="auto"/>
          <w:sz w:val="24"/>
          <w:szCs w:val="24"/>
          <w:lang w:val="en-US" w:eastAsia="zh-CN"/>
        </w:rPr>
        <w:t>10</w:t>
      </w:r>
      <w:r>
        <w:rPr>
          <w:rFonts w:hint="eastAsia" w:ascii="宋体" w:hAnsi="宋体" w:eastAsia="宋体" w:cs="宋体"/>
          <w:bCs/>
          <w:color w:val="auto"/>
          <w:sz w:val="24"/>
          <w:szCs w:val="24"/>
        </w:rPr>
        <w:t>月</w:t>
      </w:r>
      <w:r>
        <w:rPr>
          <w:rFonts w:hint="eastAsia" w:ascii="宋体" w:hAnsi="宋体" w:eastAsia="宋体" w:cs="宋体"/>
          <w:bCs/>
          <w:color w:val="auto"/>
          <w:sz w:val="24"/>
          <w:szCs w:val="24"/>
          <w:lang w:val="en-US" w:eastAsia="zh-CN"/>
        </w:rPr>
        <w:t>13</w:t>
      </w:r>
      <w:r>
        <w:rPr>
          <w:rFonts w:hint="eastAsia" w:ascii="宋体" w:hAnsi="宋体" w:eastAsia="宋体" w:cs="宋体"/>
          <w:bCs/>
          <w:color w:val="auto"/>
          <w:sz w:val="24"/>
          <w:szCs w:val="24"/>
        </w:rPr>
        <w:t>日9：00，提交地点为福建省肿瘤医院总务科，未送达指定地点或逾期送达者拒收。</w:t>
      </w:r>
    </w:p>
    <w:p w14:paraId="782882F2">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六、开标评标时间地点</w:t>
      </w:r>
    </w:p>
    <w:p w14:paraId="33FD7D6D">
      <w:pPr>
        <w:widowControl/>
        <w:numPr>
          <w:ilvl w:val="0"/>
          <w:numId w:val="6"/>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开标时间：202</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年</w:t>
      </w:r>
      <w:r>
        <w:rPr>
          <w:rFonts w:hint="eastAsia" w:ascii="宋体" w:hAnsi="宋体" w:eastAsia="宋体" w:cs="宋体"/>
          <w:bCs/>
          <w:color w:val="auto"/>
          <w:sz w:val="24"/>
          <w:szCs w:val="24"/>
          <w:lang w:val="en-US" w:eastAsia="zh-CN"/>
        </w:rPr>
        <w:t>10</w:t>
      </w:r>
      <w:r>
        <w:rPr>
          <w:rFonts w:hint="eastAsia" w:ascii="宋体" w:hAnsi="宋体" w:eastAsia="宋体" w:cs="宋体"/>
          <w:bCs/>
          <w:color w:val="auto"/>
          <w:sz w:val="24"/>
          <w:szCs w:val="24"/>
        </w:rPr>
        <w:t>月</w:t>
      </w:r>
      <w:r>
        <w:rPr>
          <w:rFonts w:hint="eastAsia" w:ascii="宋体" w:hAnsi="宋体" w:eastAsia="宋体" w:cs="宋体"/>
          <w:bCs/>
          <w:color w:val="auto"/>
          <w:sz w:val="24"/>
          <w:szCs w:val="24"/>
          <w:lang w:val="en-US" w:eastAsia="zh-CN"/>
        </w:rPr>
        <w:t>13</w:t>
      </w:r>
      <w:r>
        <w:rPr>
          <w:rFonts w:hint="eastAsia" w:ascii="宋体" w:hAnsi="宋体" w:eastAsia="宋体" w:cs="宋体"/>
          <w:bCs/>
          <w:color w:val="auto"/>
          <w:sz w:val="24"/>
          <w:szCs w:val="24"/>
        </w:rPr>
        <w:t>日9：00</w:t>
      </w:r>
    </w:p>
    <w:p w14:paraId="2B0514C9">
      <w:pPr>
        <w:widowControl/>
        <w:numPr>
          <w:ilvl w:val="0"/>
          <w:numId w:val="6"/>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评标时间：开标后即开始评标。</w:t>
      </w:r>
    </w:p>
    <w:p w14:paraId="23EDDFAB">
      <w:pPr>
        <w:widowControl/>
        <w:numPr>
          <w:ilvl w:val="0"/>
          <w:numId w:val="6"/>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地点：福建省肿瘤医院科研楼一楼总务科会议室</w:t>
      </w:r>
    </w:p>
    <w:p w14:paraId="56633D79">
      <w:pPr>
        <w:spacing w:before="150"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备注：</w:t>
      </w:r>
    </w:p>
    <w:p w14:paraId="730E7FA3">
      <w:pPr>
        <w:widowControl/>
        <w:numPr>
          <w:ilvl w:val="0"/>
          <w:numId w:val="7"/>
        </w:numPr>
        <w:adjustRightInd w:val="0"/>
        <w:snapToGrid w:val="0"/>
        <w:spacing w:before="150" w:after="200" w:line="360" w:lineRule="auto"/>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未参加报名的潜在投标人，其投标文件将被拒绝。</w:t>
      </w:r>
    </w:p>
    <w:p w14:paraId="43F152DE">
      <w:pPr>
        <w:widowControl/>
        <w:numPr>
          <w:ilvl w:val="0"/>
          <w:numId w:val="7"/>
        </w:numPr>
        <w:adjustRightInd w:val="0"/>
        <w:snapToGrid w:val="0"/>
        <w:spacing w:before="150" w:after="200" w:line="360" w:lineRule="auto"/>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若有涉及招标文件内容更正，请各潜在投标人密切关注福建省肿瘤医院官网通知，以最新公告为准。</w:t>
      </w:r>
    </w:p>
    <w:p w14:paraId="569E9F7E">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八、评标原则及办法</w:t>
      </w:r>
    </w:p>
    <w:p w14:paraId="0A4E18D1">
      <w:pPr>
        <w:widowControl/>
        <w:numPr>
          <w:ilvl w:val="0"/>
          <w:numId w:val="8"/>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评标活动遵循公平、公正、科学和择优的原则。</w:t>
      </w:r>
    </w:p>
    <w:p w14:paraId="454E6118">
      <w:pPr>
        <w:widowControl/>
        <w:numPr>
          <w:ilvl w:val="0"/>
          <w:numId w:val="8"/>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评标方法：综合评分。</w:t>
      </w:r>
    </w:p>
    <w:p w14:paraId="2BA942D1">
      <w:pPr>
        <w:widowControl/>
        <w:numPr>
          <w:ilvl w:val="0"/>
          <w:numId w:val="8"/>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投标人之间有相互串通投标、弄虚作假等违规行为者，将作废标处理，并在我院未来的项目招标中被拒绝接受投标。</w:t>
      </w:r>
    </w:p>
    <w:p w14:paraId="72D786AB">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九、合同条款内容及签订</w:t>
      </w:r>
    </w:p>
    <w:p w14:paraId="55DE637D">
      <w:pPr>
        <w:widowControl/>
        <w:numPr>
          <w:ilvl w:val="0"/>
          <w:numId w:val="9"/>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合同专用条款内容依照国家规范文本，合同通用条款内容解释依照国家规范文本。</w:t>
      </w:r>
    </w:p>
    <w:p w14:paraId="0C6FF346">
      <w:pPr>
        <w:widowControl/>
        <w:numPr>
          <w:ilvl w:val="0"/>
          <w:numId w:val="9"/>
        </w:num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合同签订：</w:t>
      </w:r>
      <w:r>
        <w:rPr>
          <w:rFonts w:hint="eastAsia" w:ascii="宋体" w:hAnsi="宋体" w:eastAsia="宋体" w:cs="宋体"/>
          <w:bCs/>
          <w:color w:val="auto"/>
          <w:sz w:val="24"/>
          <w:szCs w:val="24"/>
          <w:lang w:eastAsia="zh-CN"/>
        </w:rPr>
        <w:t>承包人</w:t>
      </w:r>
      <w:r>
        <w:rPr>
          <w:rFonts w:hint="eastAsia" w:ascii="宋体" w:hAnsi="宋体" w:eastAsia="宋体" w:cs="宋体"/>
          <w:bCs/>
          <w:color w:val="auto"/>
          <w:sz w:val="24"/>
          <w:szCs w:val="24"/>
        </w:rPr>
        <w:t>在接到中标通知后3天内，应派代表与招标人联系，商讨签订合同事宜。</w:t>
      </w:r>
    </w:p>
    <w:p w14:paraId="6645FA3C">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十、付款方式与条件</w:t>
      </w:r>
    </w:p>
    <w:p w14:paraId="7B823687">
      <w:pPr>
        <w:widowControl/>
        <w:spacing w:before="150" w:line="360" w:lineRule="auto"/>
        <w:ind w:left="420" w:firstLine="420"/>
        <w:rPr>
          <w:rFonts w:hint="eastAsia" w:ascii="宋体" w:hAnsi="宋体" w:eastAsia="宋体" w:cs="宋体"/>
          <w:bCs/>
          <w:color w:val="auto"/>
          <w:sz w:val="24"/>
          <w:szCs w:val="24"/>
        </w:rPr>
      </w:pPr>
      <w:r>
        <w:rPr>
          <w:rFonts w:hint="eastAsia" w:ascii="宋体" w:hAnsi="宋体" w:cs="宋体"/>
          <w:bCs/>
          <w:color w:val="auto"/>
          <w:sz w:val="24"/>
          <w:szCs w:val="24"/>
          <w:lang w:val="en-US" w:eastAsia="zh-CN"/>
        </w:rPr>
        <w:t>完成</w:t>
      </w:r>
      <w:r>
        <w:rPr>
          <w:rFonts w:hint="eastAsia" w:ascii="宋体" w:hAnsi="宋体" w:eastAsia="宋体" w:cs="宋体"/>
          <w:bCs/>
          <w:color w:val="auto"/>
          <w:sz w:val="24"/>
          <w:szCs w:val="24"/>
        </w:rPr>
        <w:t>验收后30天内支付</w:t>
      </w:r>
      <w:r>
        <w:rPr>
          <w:rFonts w:hint="eastAsia" w:ascii="宋体" w:hAnsi="宋体" w:cs="宋体"/>
          <w:bCs/>
          <w:color w:val="auto"/>
          <w:sz w:val="24"/>
          <w:szCs w:val="24"/>
          <w:lang w:val="en-US" w:eastAsia="zh-CN"/>
        </w:rPr>
        <w:t>合同100%款项</w:t>
      </w:r>
      <w:r>
        <w:rPr>
          <w:rFonts w:hint="eastAsia" w:ascii="宋体" w:hAnsi="宋体" w:eastAsia="宋体" w:cs="宋体"/>
          <w:bCs/>
          <w:color w:val="auto"/>
          <w:sz w:val="24"/>
          <w:szCs w:val="24"/>
        </w:rPr>
        <w:t>。</w:t>
      </w:r>
    </w:p>
    <w:p w14:paraId="6CC7E244">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十一、其他未详尽事宜</w:t>
      </w:r>
    </w:p>
    <w:p w14:paraId="4667A8BB">
      <w:pPr>
        <w:spacing w:before="150"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依照国家政府采购有关规定。</w:t>
      </w:r>
    </w:p>
    <w:p w14:paraId="2798F3EF">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十二、监督电话</w:t>
      </w:r>
    </w:p>
    <w:p w14:paraId="509C6900">
      <w:pPr>
        <w:spacing w:before="150"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在采购报名、采购调研等采购过程中有任何异议，可联系我院监督科室。电话：83660063-8407；83660063-8467。</w:t>
      </w:r>
    </w:p>
    <w:p w14:paraId="2F9721AC">
      <w:pPr>
        <w:spacing w:before="150" w:line="360" w:lineRule="auto"/>
        <w:ind w:firstLine="480"/>
        <w:rPr>
          <w:rFonts w:hint="eastAsia" w:ascii="宋体" w:hAnsi="宋体" w:eastAsia="宋体" w:cs="宋体"/>
          <w:bCs/>
          <w:color w:val="auto"/>
          <w:sz w:val="24"/>
          <w:szCs w:val="24"/>
        </w:rPr>
      </w:pPr>
    </w:p>
    <w:p w14:paraId="06617B0E">
      <w:pPr>
        <w:spacing w:before="150" w:line="360" w:lineRule="auto"/>
        <w:ind w:firstLine="480"/>
        <w:rPr>
          <w:rFonts w:hint="eastAsia" w:ascii="宋体" w:hAnsi="宋体" w:eastAsia="宋体" w:cs="宋体"/>
          <w:bCs/>
          <w:color w:val="auto"/>
          <w:sz w:val="24"/>
          <w:szCs w:val="24"/>
        </w:rPr>
      </w:pPr>
    </w:p>
    <w:p w14:paraId="7648B7EA">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                                           </w:t>
      </w:r>
    </w:p>
    <w:p w14:paraId="52114B36">
      <w:pPr>
        <w:spacing w:before="150"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                                               </w:t>
      </w:r>
    </w:p>
    <w:p w14:paraId="3D9C3DE8">
      <w:pPr>
        <w:pStyle w:val="17"/>
        <w:spacing w:line="360" w:lineRule="auto"/>
        <w:rPr>
          <w:rFonts w:hint="eastAsia" w:ascii="宋体" w:hAnsi="宋体" w:eastAsia="宋体" w:cs="宋体"/>
          <w:bCs/>
          <w:color w:val="auto"/>
          <w:sz w:val="24"/>
          <w:szCs w:val="24"/>
        </w:rPr>
      </w:pPr>
    </w:p>
    <w:p w14:paraId="154881B3">
      <w:pPr>
        <w:pStyle w:val="17"/>
        <w:spacing w:line="360" w:lineRule="auto"/>
        <w:rPr>
          <w:rFonts w:hint="eastAsia" w:ascii="宋体" w:hAnsi="宋体" w:eastAsia="宋体" w:cs="宋体"/>
          <w:bCs/>
          <w:color w:val="auto"/>
          <w:sz w:val="24"/>
          <w:szCs w:val="24"/>
        </w:rPr>
      </w:pPr>
    </w:p>
    <w:p w14:paraId="5A907E20">
      <w:pPr>
        <w:spacing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br w:type="page"/>
      </w:r>
    </w:p>
    <w:p w14:paraId="453543BC">
      <w:pPr>
        <w:spacing w:before="150" w:line="360" w:lineRule="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 xml:space="preserve">附件： </w:t>
      </w:r>
    </w:p>
    <w:p w14:paraId="6F42CD31">
      <w:pPr>
        <w:pStyle w:val="19"/>
        <w:spacing w:before="0" w:beforeAutospacing="0" w:after="0" w:afterAutospacing="0" w:line="360" w:lineRule="auto"/>
        <w:ind w:firstLine="480"/>
        <w:rPr>
          <w:rFonts w:hint="eastAsia" w:ascii="宋体" w:hAnsi="宋体" w:eastAsia="宋体" w:cs="宋体"/>
          <w:b/>
          <w:bCs/>
          <w:color w:val="auto"/>
          <w:sz w:val="24"/>
          <w:szCs w:val="24"/>
          <w:shd w:val="clear" w:color="auto" w:fill="FFFFFF"/>
        </w:rPr>
      </w:pPr>
      <w:r>
        <w:rPr>
          <w:rFonts w:hint="eastAsia" w:ascii="宋体" w:hAnsi="宋体" w:eastAsia="宋体" w:cs="宋体"/>
          <w:b/>
          <w:bCs/>
          <w:color w:val="auto"/>
          <w:sz w:val="24"/>
          <w:szCs w:val="24"/>
          <w:shd w:val="clear" w:color="auto" w:fill="FFFFFF"/>
          <w:lang w:val="en-US" w:eastAsia="zh-CN"/>
        </w:rPr>
        <w:t>一、</w:t>
      </w:r>
      <w:r>
        <w:rPr>
          <w:rFonts w:hint="eastAsia" w:ascii="宋体" w:hAnsi="宋体" w:eastAsia="宋体" w:cs="宋体"/>
          <w:b/>
          <w:bCs/>
          <w:color w:val="auto"/>
          <w:sz w:val="24"/>
          <w:szCs w:val="24"/>
          <w:shd w:val="clear" w:color="auto" w:fill="FFFFFF"/>
        </w:rPr>
        <w:t>项目概况及要求</w:t>
      </w:r>
    </w:p>
    <w:p w14:paraId="65751EF4">
      <w:pPr>
        <w:pStyle w:val="19"/>
        <w:keepNext w:val="0"/>
        <w:keepLines w:val="0"/>
        <w:widowControl/>
        <w:suppressLineNumbers w:val="0"/>
        <w:rPr>
          <w:rFonts w:hint="eastAsia"/>
        </w:rPr>
      </w:pPr>
      <w:r>
        <w:rPr>
          <w:rFonts w:hint="eastAsia"/>
          <w:lang w:val="en-US" w:eastAsia="zh-CN"/>
        </w:rPr>
        <w:t>我院拟实施外科楼11号电梯井道改造项目，具体整改内容如下：</w:t>
      </w:r>
      <w:r>
        <w:rPr>
          <w:rFonts w:hint="eastAsia"/>
        </w:rPr>
        <w:t>门洞拓宽</w:t>
      </w:r>
      <w:r>
        <w:rPr>
          <w:rFonts w:hint="eastAsia"/>
          <w:lang w:eastAsia="zh-CN"/>
        </w:rPr>
        <w:t>至</w:t>
      </w:r>
      <w:r>
        <w:rPr>
          <w:rFonts w:hint="eastAsia"/>
        </w:rPr>
        <w:t>1500mm、大门套拆除</w:t>
      </w:r>
      <w:r>
        <w:rPr>
          <w:rFonts w:hint="eastAsia"/>
          <w:lang w:eastAsia="zh-CN"/>
        </w:rPr>
        <w:t>与</w:t>
      </w:r>
      <w:r>
        <w:rPr>
          <w:rFonts w:hint="eastAsia"/>
        </w:rPr>
        <w:t>制作、外呼孔，门槛石</w:t>
      </w:r>
      <w:r>
        <w:rPr>
          <w:rFonts w:hint="eastAsia"/>
          <w:lang w:eastAsia="zh-CN"/>
        </w:rPr>
        <w:t>、</w:t>
      </w:r>
      <w:r>
        <w:rPr>
          <w:rFonts w:hint="eastAsia"/>
        </w:rPr>
        <w:t>机房孔</w:t>
      </w:r>
      <w:r>
        <w:rPr>
          <w:rFonts w:hint="eastAsia"/>
          <w:lang w:eastAsia="zh-CN"/>
        </w:rPr>
        <w:t>洞开</w:t>
      </w:r>
      <w:r>
        <w:rPr>
          <w:rFonts w:hint="eastAsia"/>
        </w:rPr>
        <w:t>孔、机房承重梁</w:t>
      </w:r>
      <w:r>
        <w:rPr>
          <w:rFonts w:hint="eastAsia"/>
          <w:lang w:eastAsia="zh-CN"/>
        </w:rPr>
        <w:t>施工、</w:t>
      </w:r>
      <w:r>
        <w:rPr>
          <w:rFonts w:hint="eastAsia"/>
        </w:rPr>
        <w:t>机房楼板加固、机房孔</w:t>
      </w:r>
      <w:r>
        <w:rPr>
          <w:rFonts w:hint="eastAsia"/>
          <w:lang w:eastAsia="zh-CN"/>
        </w:rPr>
        <w:t>洞修</w:t>
      </w:r>
      <w:r>
        <w:rPr>
          <w:rFonts w:hint="eastAsia"/>
        </w:rPr>
        <w:t>复、施工区域文明</w:t>
      </w:r>
      <w:r>
        <w:rPr>
          <w:rFonts w:hint="eastAsia"/>
          <w:lang w:eastAsia="zh-CN"/>
        </w:rPr>
        <w:t>施工防护</w:t>
      </w:r>
      <w:r>
        <w:rPr>
          <w:rFonts w:hint="eastAsia"/>
          <w:lang w:val="en-US" w:eastAsia="zh-CN"/>
        </w:rPr>
        <w:t>等</w:t>
      </w:r>
      <w:r>
        <w:rPr>
          <w:rFonts w:hint="eastAsia"/>
        </w:rPr>
        <w:t>。</w:t>
      </w:r>
    </w:p>
    <w:p w14:paraId="2B15B0B8">
      <w:pPr>
        <w:pStyle w:val="9"/>
        <w:spacing w:before="107" w:line="360" w:lineRule="auto"/>
        <w:ind w:left="239" w:right="526" w:firstLine="480"/>
        <w:rPr>
          <w:rFonts w:hint="eastAsia" w:ascii="宋体" w:hAnsi="宋体" w:eastAsia="宋体" w:cs="宋体"/>
          <w:color w:val="auto"/>
          <w:kern w:val="0"/>
          <w:sz w:val="24"/>
          <w:szCs w:val="24"/>
          <w:shd w:val="clear" w:color="auto" w:fill="FFFFFF"/>
          <w:lang w:bidi="ar"/>
        </w:rPr>
      </w:pPr>
      <w:r>
        <w:rPr>
          <w:rFonts w:hint="eastAsia" w:ascii="宋体" w:hAnsi="宋体" w:eastAsia="宋体" w:cs="宋体"/>
          <w:color w:val="auto"/>
          <w:sz w:val="24"/>
          <w:szCs w:val="24"/>
          <w:shd w:val="clear" w:color="auto" w:fill="FFFFFF"/>
        </w:rPr>
        <w:t>1.1参考</w:t>
      </w:r>
      <w:r>
        <w:rPr>
          <w:rFonts w:hint="eastAsia" w:ascii="宋体" w:hAnsi="宋体" w:eastAsia="宋体" w:cs="宋体"/>
          <w:color w:val="auto"/>
          <w:spacing w:val="-1"/>
          <w:sz w:val="24"/>
          <w:szCs w:val="24"/>
        </w:rPr>
        <w:t>工</w:t>
      </w:r>
      <w:r>
        <w:rPr>
          <w:rFonts w:hint="eastAsia" w:ascii="宋体" w:hAnsi="宋体" w:eastAsia="宋体" w:cs="宋体"/>
          <w:color w:val="auto"/>
          <w:kern w:val="0"/>
          <w:sz w:val="24"/>
          <w:szCs w:val="24"/>
          <w:shd w:val="clear" w:color="auto" w:fill="FFFFFF"/>
          <w:lang w:bidi="ar"/>
        </w:rPr>
        <w:t>程量：</w:t>
      </w:r>
    </w:p>
    <w:tbl>
      <w:tblPr>
        <w:tblStyle w:val="24"/>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1"/>
        <w:gridCol w:w="1348"/>
        <w:gridCol w:w="996"/>
        <w:gridCol w:w="3386"/>
        <w:gridCol w:w="549"/>
        <w:gridCol w:w="881"/>
        <w:gridCol w:w="275"/>
        <w:gridCol w:w="275"/>
        <w:gridCol w:w="796"/>
      </w:tblGrid>
      <w:tr w14:paraId="62E86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3A0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EA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8AB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85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E22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B61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D7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    额(元)</w:t>
            </w:r>
          </w:p>
        </w:tc>
      </w:tr>
      <w:tr w14:paraId="2202E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E02F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DC23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3014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76AC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E46C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D2704">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71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D2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合价</w:t>
            </w:r>
          </w:p>
        </w:tc>
      </w:tr>
      <w:tr w14:paraId="2166A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849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加固工程</w:t>
            </w:r>
          </w:p>
        </w:tc>
      </w:tr>
      <w:tr w14:paraId="4CFE8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AE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9CA4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B22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剪力墙拆除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D380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(1)大理石大门套拆除，一层切割混凝土0.19立方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(2)剪力墙静力切割，门洞拓宽至1500mm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(3)保护原有主体结构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(4)切割完成后洞口边缘做钢筋加固、修复面层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B42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DB355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CF6E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FE1D3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3CA2A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B9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201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011610004001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83F9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门窗套拆除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BDF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(1)构件名称:电梯门套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(2)门窗套材质:（旧门套拆除）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77A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7A64D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34.425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65CA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AD927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7BC5A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35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22A3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E2B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拆除地坎石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272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(1)拆除地坎石（含结合层拆除）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(2)（静力切割，保护周边地坪）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567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ACA6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F5C0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AE0B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5C849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C98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BD3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C2C4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墙体修复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DFB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(1)墙体修复 与原墙体一致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(2)（腻子粉修补、刷底漆、面漆）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11A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2A94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678C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FF49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5B7C6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C1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76E4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010808004001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FB8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金属门窗套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6CCC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(1)面层材料品种、规格:304 不锈钢板，厚度 1.2mm，原色拉丝，无指纹处理（成品）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(2)基层材料种类:镀锌钢骨架基层固定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(3)门洞 1200*2100 门套(贴脸 100mm,墙厚 200mm)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98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09840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64.800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73B0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136AE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3E8A3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5D1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DF9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010904002001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24E6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楼（地）面涂膜防水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A49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(1)电梯基坑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(2)防水膜品种:聚氨酯防水涂料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(3)涂膜厚度、遍数:2mm厚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655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760E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212B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A9F5F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7EFDA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A7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FCB2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011108001001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9C0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石材零星项目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3B52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(1)工程部位:电梯口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(2)结合层厚度、材料种类:干硬性水泥砂浆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(3)面层材料品种、规格、颜色:门坎石(黑金砂) 1200*250mm 20mm厚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C5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4D6CF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AF11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315E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0FAD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33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6D61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8942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标准化施工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58A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(1)名称:现场统一设置标准化施工公示牌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(2)牢固固定于围挡外侧醒目位置，牌面清晰标注项目名称、施工单位、项目经理、现场安全员、联系电话、施工工期、投诉电话、安全文明施工。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0D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DD7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83F0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90ACF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5E9B9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487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BC61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FDC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场内清运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FD4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(1)名称:人工垃圾清理、搬弃运（1~27F）</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6EF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5651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4D2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88E8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4D951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0" w:type="auto"/>
            <w:gridSpan w:val="9"/>
            <w:tcBorders>
              <w:top w:val="nil"/>
              <w:left w:val="nil"/>
              <w:bottom w:val="nil"/>
              <w:right w:val="nil"/>
            </w:tcBorders>
            <w:shd w:val="clear" w:color="auto" w:fill="auto"/>
            <w:vAlign w:val="center"/>
          </w:tcPr>
          <w:p w14:paraId="265F97B8">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分部分项工程量清单与计价表</w:t>
            </w:r>
          </w:p>
        </w:tc>
      </w:tr>
      <w:tr w14:paraId="56042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gridSpan w:val="9"/>
            <w:tcBorders>
              <w:top w:val="nil"/>
              <w:left w:val="nil"/>
              <w:bottom w:val="nil"/>
              <w:right w:val="nil"/>
            </w:tcBorders>
            <w:shd w:val="clear" w:color="auto" w:fill="auto"/>
            <w:vAlign w:val="center"/>
          </w:tcPr>
          <w:p w14:paraId="43CEE8B8">
            <w:pPr>
              <w:jc w:val="center"/>
              <w:rPr>
                <w:rFonts w:hint="eastAsia" w:ascii="宋体" w:hAnsi="宋体" w:eastAsia="宋体" w:cs="宋体"/>
                <w:i w:val="0"/>
                <w:iCs w:val="0"/>
                <w:color w:val="000000"/>
                <w:sz w:val="20"/>
                <w:szCs w:val="20"/>
                <w:u w:val="none"/>
              </w:rPr>
            </w:pPr>
          </w:p>
        </w:tc>
      </w:tr>
      <w:tr w14:paraId="5C957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gridSpan w:val="7"/>
            <w:tcBorders>
              <w:top w:val="nil"/>
              <w:left w:val="nil"/>
              <w:bottom w:val="nil"/>
              <w:right w:val="nil"/>
            </w:tcBorders>
            <w:shd w:val="clear" w:color="auto" w:fill="auto"/>
            <w:vAlign w:val="center"/>
          </w:tcPr>
          <w:p w14:paraId="09D253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工程名称：福建省肿瘤医院土建整改项目 加固工程</w:t>
            </w:r>
          </w:p>
        </w:tc>
        <w:tc>
          <w:tcPr>
            <w:tcW w:w="0" w:type="auto"/>
            <w:gridSpan w:val="2"/>
            <w:tcBorders>
              <w:top w:val="nil"/>
              <w:left w:val="nil"/>
              <w:bottom w:val="nil"/>
              <w:right w:val="nil"/>
            </w:tcBorders>
            <w:shd w:val="clear" w:color="auto" w:fill="auto"/>
            <w:vAlign w:val="center"/>
          </w:tcPr>
          <w:p w14:paraId="5522F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第2页 共3页</w:t>
            </w:r>
          </w:p>
        </w:tc>
      </w:tr>
      <w:tr w14:paraId="5F7EC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6A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4A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EF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90F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3CC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96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F0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    额(元)</w:t>
            </w:r>
          </w:p>
        </w:tc>
      </w:tr>
      <w:tr w14:paraId="5445A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A1E6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482F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C6DB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E8D6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1431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76E14">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FD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A97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合价</w:t>
            </w:r>
          </w:p>
        </w:tc>
      </w:tr>
      <w:tr w14:paraId="752B8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F8A3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373194">
            <w:pPr>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CB67D">
            <w:pPr>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9DFD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(2)（原有旧门套拆除、基层清理、废渣）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32B0C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792EFC">
            <w:pPr>
              <w:jc w:val="right"/>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D97E7">
            <w:pPr>
              <w:jc w:val="righ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CD6B5E">
            <w:pPr>
              <w:jc w:val="right"/>
              <w:rPr>
                <w:rFonts w:hint="eastAsia" w:ascii="宋体" w:hAnsi="宋体" w:eastAsia="宋体" w:cs="宋体"/>
                <w:i w:val="0"/>
                <w:iCs w:val="0"/>
                <w:color w:val="000000"/>
                <w:sz w:val="18"/>
                <w:szCs w:val="18"/>
                <w:u w:val="none"/>
              </w:rPr>
            </w:pPr>
          </w:p>
        </w:tc>
      </w:tr>
      <w:tr w14:paraId="34FDA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4439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455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924E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粘贴碳纤维布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9EA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(1)粘贴碳纤维布加固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(2)板面板底粘同，粘贴I级玻纤维2T-300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(3)厚充不小于0.167mm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51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B7884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3.960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05B4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0E094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259C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DC2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397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C821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粘贴钢板加固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4DC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(1)粘贴钢板加固-50*5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(2)（梁面粘钢）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(3)(手工涂胶 钢板厚度≤5mm 楼地面)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058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56EF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0.950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F88E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4CAC9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248B9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511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355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010516005001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9F82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化学螺栓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D39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(1)化学螺栓种类:化学螺栓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(2)规格:5.8级M12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(3)深度:植入柱内10d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29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2BF53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FD1D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C74DE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65AAA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1A1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DB04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A18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粘贴钢板加固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5D37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(1)粘贴U型箍板1*2-50*5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(2)(手工涂胶 钢板厚度≤5mm 柱面)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40B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85208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0.338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9949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D3D09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507DE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2F37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47C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01B009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7F5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钢板加固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EDC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(1)U型箍板-80*4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(2)外粘(包)型钢(型钢与箍板 封闭、灌胶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14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2005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0.124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1EB2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5920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32406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54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AB3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010516005002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291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化学螺栓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C8E1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(1)化学螺栓种类:化学螺栓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(2)规格:5.8级M12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(3)深度:植入柱内10d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04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CEA10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6C56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E7748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23748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1B9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A2B8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010503002001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161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矩形梁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295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(1)混凝土种类:非泵送商品混凝土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(2)混凝土强度等级:C35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DA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AAEB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0.280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3B63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BAB5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5DD9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A2E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BF9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011702006001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FEE0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梁模板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387E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(1)支撑高度: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(2)构件形状:加大梁截面模板(三面)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640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6DC1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E65F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CFEB0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2A0E8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4FF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FDC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C7F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原混凝土凿毛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79A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(1)原梁底混凝土保护层(梁)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E97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FAA90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7C9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53F3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73986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B1A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923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010515001001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2B9B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现浇构件钢筋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C77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(1)钢筋种类、规格:HRB400 Φ12、U型筋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(2)（梁底扩截面加固新增U型筋与原箍焊接）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8A7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9E60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0.024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DADB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262A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102D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00BB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0EC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010516004001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30C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建筑植筋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007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(1)加固植筋（新增拉筋，钻孔植筋于梁内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(2)植筋方式:注入式建筑植筋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(3)规格:Φ12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(4)深度:15d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4B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5218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CBA6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699CA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7FF8B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2E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5E0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010505003001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A8B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平板</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9181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(1)混凝土种类:非泵送商品混凝土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(2)混凝土强度等级:C35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(3)（现浇板安装后恢复洞构造）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2E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7E2B6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53FC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0BBA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29268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5D47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E1AB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011301001001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44F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天棚抹灰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D42D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(1)抹灰厚度、材料种类:I 级聚合物改性水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46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0A531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EE7B3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67FD2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28DA4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0" w:type="auto"/>
            <w:gridSpan w:val="9"/>
            <w:tcBorders>
              <w:top w:val="nil"/>
              <w:left w:val="nil"/>
              <w:bottom w:val="nil"/>
              <w:right w:val="nil"/>
            </w:tcBorders>
            <w:shd w:val="clear" w:color="auto" w:fill="auto"/>
            <w:vAlign w:val="center"/>
          </w:tcPr>
          <w:p w14:paraId="7327B544">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分部分项工程量清单与计价表</w:t>
            </w:r>
          </w:p>
        </w:tc>
      </w:tr>
      <w:tr w14:paraId="441DF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gridSpan w:val="9"/>
            <w:tcBorders>
              <w:top w:val="nil"/>
              <w:left w:val="nil"/>
              <w:bottom w:val="nil"/>
              <w:right w:val="nil"/>
            </w:tcBorders>
            <w:shd w:val="clear" w:color="auto" w:fill="auto"/>
            <w:vAlign w:val="center"/>
          </w:tcPr>
          <w:p w14:paraId="1DA62B80">
            <w:pPr>
              <w:jc w:val="center"/>
              <w:rPr>
                <w:rFonts w:hint="eastAsia" w:ascii="宋体" w:hAnsi="宋体" w:eastAsia="宋体" w:cs="宋体"/>
                <w:i w:val="0"/>
                <w:iCs w:val="0"/>
                <w:color w:val="000000"/>
                <w:sz w:val="20"/>
                <w:szCs w:val="20"/>
                <w:u w:val="none"/>
              </w:rPr>
            </w:pPr>
          </w:p>
        </w:tc>
      </w:tr>
      <w:tr w14:paraId="25C8B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gridSpan w:val="7"/>
            <w:tcBorders>
              <w:top w:val="nil"/>
              <w:left w:val="nil"/>
              <w:bottom w:val="nil"/>
              <w:right w:val="nil"/>
            </w:tcBorders>
            <w:shd w:val="clear" w:color="auto" w:fill="auto"/>
            <w:vAlign w:val="center"/>
          </w:tcPr>
          <w:p w14:paraId="2D88CA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工程名称：福建省肿瘤医院土建整改项目 加固工程</w:t>
            </w:r>
          </w:p>
        </w:tc>
        <w:tc>
          <w:tcPr>
            <w:tcW w:w="0" w:type="auto"/>
            <w:gridSpan w:val="2"/>
            <w:tcBorders>
              <w:top w:val="nil"/>
              <w:left w:val="nil"/>
              <w:bottom w:val="nil"/>
              <w:right w:val="nil"/>
            </w:tcBorders>
            <w:shd w:val="clear" w:color="auto" w:fill="auto"/>
            <w:vAlign w:val="center"/>
          </w:tcPr>
          <w:p w14:paraId="0CFED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第3页 共3页</w:t>
            </w:r>
          </w:p>
        </w:tc>
      </w:tr>
      <w:tr w14:paraId="20D78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CCB1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11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D1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D7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项目特征描述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47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AB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工程量</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73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    额(元)</w:t>
            </w:r>
          </w:p>
        </w:tc>
      </w:tr>
      <w:tr w14:paraId="68010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97BC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43DD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39E9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7AB3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8A69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5807E">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A1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09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合价</w:t>
            </w:r>
          </w:p>
        </w:tc>
      </w:tr>
      <w:tr w14:paraId="149BE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CFA4B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89B22">
            <w:pPr>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1943CD">
            <w:pPr>
              <w:jc w:val="lef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EC43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泥砂浆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6F6A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33A06">
            <w:pPr>
              <w:jc w:val="right"/>
              <w:rPr>
                <w:rFonts w:hint="eastAsia" w:ascii="宋体" w:hAnsi="宋体" w:eastAsia="宋体" w:cs="宋体"/>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599E2">
            <w:pPr>
              <w:jc w:val="right"/>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E1909">
            <w:pPr>
              <w:jc w:val="right"/>
              <w:rPr>
                <w:rFonts w:hint="eastAsia" w:ascii="宋体" w:hAnsi="宋体" w:eastAsia="宋体" w:cs="宋体"/>
                <w:i w:val="0"/>
                <w:iCs w:val="0"/>
                <w:color w:val="000000"/>
                <w:sz w:val="18"/>
                <w:szCs w:val="18"/>
                <w:u w:val="none"/>
              </w:rPr>
            </w:pPr>
          </w:p>
        </w:tc>
      </w:tr>
      <w:tr w14:paraId="3CEC0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79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18C5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F6B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取孔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7F3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(1)位置:电梯机房楼板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(2)名称:机房取孔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(3)规格:150*150mm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831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A60D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F42B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05CC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6A208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1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8FD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F577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6496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F70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(1)位置:电梯机房楼板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(2)名称:孔洞填堵 150*150mm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(3)洞口四周植筋补配钢筋、板底吊模支撑、界面剂涂刷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(4)C35 微膨胀细石混凝土浇筑、振捣、养护</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B16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1F5D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CA1D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471E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05173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D2E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9554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010516006001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46C9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电渣压力焊接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F43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(1)规格:单面焊接 φ≤18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769F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C6A7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3BAA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759ED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3EB0F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34E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F82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4FEC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扣架搭设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FAA2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(1)位置:电梯井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(2)名称:电梯井盘扣架搭设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BA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FF2A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5FC1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FEAC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714C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D73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5278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01B014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4AB7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临时保护措施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440C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(1)施工区域临时保护措施(</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1～2</w:t>
            </w: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F）</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(2)1、电梯井道施工区域搭设2.5m高双层隔音阻燃围挡，板材低VOC无异味，缝隙全密封，防止粉尘、异味扩散至病房。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(3)2、围挡底部设置200mm混凝土挡水基座，走廊满铺防尘地垫，顶部配套雾化喷淋，全程湿式降尘作业。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(4)3、涉及施工范围的厅门口加装双层防尘幕，切割、打磨配备烟尘净化器，采取负压防尘，杜绝金属粉尘外溢。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(5)4、单独设置施工专用通道出入口，与患者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8B50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4E00F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AED7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4391C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p>
        </w:tc>
      </w:tr>
      <w:tr w14:paraId="7D860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1" w:hRule="atLeast"/>
        </w:trPr>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2AD7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color w:val="auto"/>
                <w:kern w:val="0"/>
                <w:sz w:val="24"/>
                <w:szCs w:val="24"/>
                <w:shd w:val="clear" w:color="auto" w:fill="FFFFFF"/>
                <w:lang w:eastAsia="zh-CN" w:bidi="ar"/>
              </w:rPr>
              <w:t>注：上述工程量仅供参考，</w:t>
            </w:r>
            <w:r>
              <w:rPr>
                <w:rFonts w:hint="eastAsia" w:ascii="宋体" w:hAnsi="宋体" w:eastAsia="宋体" w:cs="宋体"/>
                <w:color w:val="auto"/>
                <w:sz w:val="24"/>
                <w:szCs w:val="24"/>
                <w:lang w:eastAsia="zh-CN"/>
              </w:rPr>
              <w:t>本项目</w:t>
            </w:r>
            <w:r>
              <w:rPr>
                <w:rFonts w:hint="eastAsia" w:ascii="宋体" w:hAnsi="宋体" w:cs="宋体"/>
                <w:color w:val="auto"/>
                <w:sz w:val="24"/>
                <w:szCs w:val="24"/>
                <w:lang w:eastAsia="zh-CN"/>
              </w:rPr>
              <w:t>采购人</w:t>
            </w:r>
            <w:r>
              <w:rPr>
                <w:rFonts w:hint="eastAsia" w:ascii="宋体" w:hAnsi="宋体" w:eastAsia="宋体" w:cs="宋体"/>
                <w:color w:val="auto"/>
                <w:sz w:val="24"/>
                <w:szCs w:val="24"/>
                <w:lang w:eastAsia="zh-CN"/>
              </w:rPr>
              <w:t>不组织现场踏勘，承包人自行联系</w:t>
            </w:r>
            <w:r>
              <w:rPr>
                <w:rFonts w:hint="eastAsia" w:ascii="宋体" w:hAnsi="宋体" w:cs="宋体"/>
                <w:color w:val="auto"/>
                <w:sz w:val="24"/>
                <w:szCs w:val="24"/>
                <w:lang w:eastAsia="zh-CN"/>
              </w:rPr>
              <w:t>采购人</w:t>
            </w:r>
            <w:r>
              <w:rPr>
                <w:rFonts w:hint="eastAsia" w:ascii="宋体" w:hAnsi="宋体" w:eastAsia="宋体" w:cs="宋体"/>
                <w:color w:val="auto"/>
                <w:sz w:val="24"/>
                <w:szCs w:val="24"/>
                <w:lang w:eastAsia="zh-CN"/>
              </w:rPr>
              <w:t>联系人踏勘现场，踏勘期间产生的费用，由承包人自行负责。由于未踏勘现场造成的报价不当，施工难度的估计不足等，其造成的一切后果由承包人承担。</w:t>
            </w:r>
          </w:p>
        </w:tc>
      </w:tr>
    </w:tbl>
    <w:p w14:paraId="2554925F">
      <w:pPr>
        <w:pStyle w:val="3"/>
        <w:keepNext w:val="0"/>
        <w:keepLines w:val="0"/>
        <w:pageBreakBefore w:val="0"/>
        <w:widowControl/>
        <w:suppressLineNumbers w:val="0"/>
        <w:kinsoku/>
        <w:wordWrap/>
        <w:overflowPunct/>
        <w:topLinePunct w:val="0"/>
        <w:autoSpaceDE/>
        <w:autoSpaceDN/>
        <w:bidi w:val="0"/>
        <w:adjustRightInd/>
        <w:snapToGrid/>
        <w:spacing w:line="240" w:lineRule="exact"/>
        <w:textAlignment w:val="auto"/>
      </w:pPr>
      <w:r>
        <w:rPr>
          <w:rFonts w:hint="eastAsia" w:ascii="宋体" w:hAnsi="宋体" w:cs="宋体"/>
          <w:b/>
          <w:bCs w:val="0"/>
          <w:color w:val="auto"/>
          <w:sz w:val="24"/>
          <w:szCs w:val="24"/>
          <w:lang w:val="en-US" w:eastAsia="zh-CN"/>
        </w:rPr>
        <w:t>二、</w:t>
      </w:r>
      <w:r>
        <w:t>投标报价须知</w:t>
      </w:r>
    </w:p>
    <w:p w14:paraId="1BB36586">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1. 报价方式</w:t>
      </w:r>
    </w:p>
    <w:p w14:paraId="7F2ABD56">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本项目采用固定总价包干报价方式。投标人的投标报价为完成本招标文件约定的全部工作内容的最终总价，除合同约定的设计变更及经采购人书面确认的工程量增减外，合同总价不作任何调整。</w:t>
      </w:r>
    </w:p>
    <w:p w14:paraId="5AB85B08">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2. 报价包含范围</w:t>
      </w:r>
    </w:p>
    <w:p w14:paraId="59C39B3E">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投标固定总价应包含但不限于以下全部费用： </w:t>
      </w:r>
    </w:p>
    <w:p w14:paraId="287B9E0A">
      <w:pPr>
        <w:pStyle w:val="19"/>
        <w:keepNext w:val="0"/>
        <w:keepLines w:val="0"/>
        <w:pageBreakBefore w:val="0"/>
        <w:widowControl/>
        <w:numPr>
          <w:ilvl w:val="0"/>
          <w:numId w:val="10"/>
        </w:numPr>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工程实体费用：人工费、材料费、施工机械使用费、设备及配件购置费、构件加工费等； </w:t>
      </w:r>
    </w:p>
    <w:p w14:paraId="05097DA9">
      <w:pPr>
        <w:pStyle w:val="19"/>
        <w:keepNext w:val="0"/>
        <w:keepLines w:val="0"/>
        <w:pageBreakBefore w:val="0"/>
        <w:widowControl/>
        <w:numPr>
          <w:ilvl w:val="0"/>
          <w:numId w:val="10"/>
        </w:numPr>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措施项目费：安全文明施工费、临时设施费、夜间施工增加费、赶工费、脚手架费、成品保护费、施工降排水费、高空作业费、现场垃圾清运及外运处置费等； </w:t>
      </w:r>
    </w:p>
    <w:p w14:paraId="4FB82FA0">
      <w:pPr>
        <w:pStyle w:val="19"/>
        <w:keepNext w:val="0"/>
        <w:keepLines w:val="0"/>
        <w:pageBreakBefore w:val="0"/>
        <w:widowControl/>
        <w:numPr>
          <w:ilvl w:val="0"/>
          <w:numId w:val="10"/>
        </w:numPr>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管理及其他费用：企业管理费、利润、规费、税金（增值税及附加）、施工人员保险费、工程质量检测费、验收备案费、技术资料编制费等； </w:t>
      </w:r>
    </w:p>
    <w:p w14:paraId="7604E399">
      <w:pPr>
        <w:pStyle w:val="19"/>
        <w:keepNext w:val="0"/>
        <w:keepLines w:val="0"/>
        <w:pageBreakBefore w:val="0"/>
        <w:widowControl/>
        <w:numPr>
          <w:ilvl w:val="0"/>
          <w:numId w:val="10"/>
        </w:numPr>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风险费用：材料及人工价格市场波动、施工条件变化、交叉施工配合、场地限制、政策调整等所有可能影响工程造价的风险费用； </w:t>
      </w:r>
    </w:p>
    <w:p w14:paraId="4FD7449A">
      <w:pPr>
        <w:pStyle w:val="19"/>
        <w:keepNext w:val="0"/>
        <w:keepLines w:val="0"/>
        <w:pageBreakBefore w:val="0"/>
        <w:widowControl/>
        <w:numPr>
          <w:ilvl w:val="0"/>
          <w:numId w:val="10"/>
        </w:numPr>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质保期服务：质保期内的维修、保养、缺陷修复等全部费用。</w:t>
      </w:r>
    </w:p>
    <w:p w14:paraId="0E30F232">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投标人应结合现场踏勘情况，充分考虑本工程施工范围内的所有工作内容及潜在风险，漏项、缺项、错项报价均视为已包含在投标总价中，采购人不另行支付。</w:t>
      </w:r>
    </w:p>
    <w:p w14:paraId="412AF8FA">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3. 报价风险划分</w:t>
      </w:r>
    </w:p>
    <w:p w14:paraId="7BA469C3">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投标人应自行承担以下风险对应的成本变动，固定总价不作调整： </w:t>
      </w:r>
    </w:p>
    <w:p w14:paraId="1DF95DCE">
      <w:pPr>
        <w:pStyle w:val="19"/>
        <w:keepNext w:val="0"/>
        <w:keepLines w:val="0"/>
        <w:pageBreakBefore w:val="0"/>
        <w:widowControl/>
        <w:numPr>
          <w:ilvl w:val="0"/>
          <w:numId w:val="11"/>
        </w:numPr>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因市场行情变化导致的人工、材料、机械台班价格涨跌风险； </w:t>
      </w:r>
    </w:p>
    <w:p w14:paraId="4EF6DF2C">
      <w:pPr>
        <w:pStyle w:val="19"/>
        <w:keepNext w:val="0"/>
        <w:keepLines w:val="0"/>
        <w:pageBreakBefore w:val="0"/>
        <w:widowControl/>
        <w:numPr>
          <w:ilvl w:val="0"/>
          <w:numId w:val="11"/>
        </w:numPr>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因投标人对施工图纸、工程量清单理解偏差、漏算错算导致的费用风险； </w:t>
      </w:r>
    </w:p>
    <w:p w14:paraId="43DF3901">
      <w:pPr>
        <w:pStyle w:val="19"/>
        <w:keepNext w:val="0"/>
        <w:keepLines w:val="0"/>
        <w:pageBreakBefore w:val="0"/>
        <w:widowControl/>
        <w:numPr>
          <w:ilvl w:val="0"/>
          <w:numId w:val="11"/>
        </w:numPr>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因投标人施工组织设计不合理、施工方案调整、人员设备配置不足导致的成本增加； </w:t>
      </w:r>
    </w:p>
    <w:p w14:paraId="2877D6F3">
      <w:pPr>
        <w:pStyle w:val="19"/>
        <w:keepNext w:val="0"/>
        <w:keepLines w:val="0"/>
        <w:pageBreakBefore w:val="0"/>
        <w:widowControl/>
        <w:numPr>
          <w:ilvl w:val="0"/>
          <w:numId w:val="11"/>
        </w:numPr>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国家及地方政策调整（不含强制性规费、税金基准调整）带来的成本变动； （5）施工期间水电接驳、场内运输、成品保护、与其他施工单位交叉配合等现场因素产生的费用。</w:t>
      </w:r>
    </w:p>
    <w:p w14:paraId="2CECEBD0">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4. 报价编制要求</w:t>
      </w:r>
    </w:p>
    <w:p w14:paraId="6D3242A5">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lang w:val="en-US" w:eastAsia="zh-CN"/>
        </w:rPr>
      </w:pPr>
      <w:r>
        <w:rPr>
          <w:rFonts w:hint="eastAsia"/>
          <w:lang w:val="en-US" w:eastAsia="zh-CN"/>
        </w:rPr>
        <w:t xml:space="preserve">（1）投标人应自行踏勘现场，核对施工范围，结合自身技术水平、管理能力自主报价； </w:t>
      </w:r>
    </w:p>
    <w:p w14:paraId="428BECF7">
      <w:pPr>
        <w:pStyle w:val="19"/>
        <w:keepNext w:val="0"/>
        <w:keepLines w:val="0"/>
        <w:pageBreakBefore w:val="0"/>
        <w:widowControl/>
        <w:suppressLineNumbers w:val="0"/>
        <w:kinsoku/>
        <w:wordWrap/>
        <w:overflowPunct/>
        <w:topLinePunct w:val="0"/>
        <w:autoSpaceDE/>
        <w:autoSpaceDN/>
        <w:bidi w:val="0"/>
        <w:adjustRightInd/>
        <w:snapToGrid/>
        <w:spacing w:line="280" w:lineRule="exact"/>
        <w:textAlignment w:val="auto"/>
        <w:rPr>
          <w:rFonts w:hint="eastAsia" w:ascii="宋体" w:hAnsi="宋体" w:eastAsia="宋体" w:cs="宋体"/>
          <w:b/>
          <w:bCs w:val="0"/>
          <w:color w:val="auto"/>
          <w:sz w:val="24"/>
          <w:szCs w:val="24"/>
          <w:lang w:val="en-US" w:eastAsia="zh-CN"/>
        </w:rPr>
      </w:pPr>
      <w:r>
        <w:rPr>
          <w:rFonts w:hint="eastAsia"/>
          <w:lang w:val="en-US" w:eastAsia="zh-CN"/>
        </w:rPr>
        <w:t>（2）报价应按招标文件要求的工程范围完整填报，不得拆分、不得选择性报价； （3）投标报价一经确认，不得以任何理由修改、调整或追加费用。</w:t>
      </w:r>
    </w:p>
    <w:p w14:paraId="24A749EA">
      <w:pPr>
        <w:spacing w:before="120" w:beforeLines="50" w:after="120" w:afterLines="50" w:line="360" w:lineRule="auto"/>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三、★工程质量要求（带“★”号条款为实质性款,投标人需对以下条款做出响应或承诺。若负偏,将视为无效标。）</w:t>
      </w:r>
    </w:p>
    <w:p w14:paraId="316691C1">
      <w:pPr>
        <w:spacing w:before="120" w:beforeLines="50" w:after="120" w:afterLines="50" w:line="360" w:lineRule="auto"/>
        <w:ind w:left="425"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1、工程质量验收标准： 国家竣工验收规范合格标准。                   </w:t>
      </w:r>
    </w:p>
    <w:p w14:paraId="3A4A4B2F">
      <w:pPr>
        <w:spacing w:before="120" w:beforeLines="50" w:after="120" w:afterLines="50" w:line="360" w:lineRule="auto"/>
        <w:ind w:left="425"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2、工程竣工验收时未能达到上述工程质量验收标准要求的，则承包人应当按照有关验收部门的要求整改，使其达到工程质量验收标准；若未通过验收，承包人除继续整改达到验收标准外，还应向</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支付质量违约金的金额为合同价款的10%，由</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直接从工程款中扣抵。</w:t>
      </w:r>
    </w:p>
    <w:p w14:paraId="4C0D4114">
      <w:pPr>
        <w:spacing w:before="120" w:beforeLines="50" w:after="120" w:afterLines="50" w:line="360" w:lineRule="auto"/>
        <w:ind w:left="425"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因承包人不按施工设计图纸施工或违反施工规范进行施工或设备、材料、施工工艺不合格等产生的工程质量问题而引起的返工、补救、整改或重新安装，其全部责任和费用以及赔偿均由承包人自行承担。因承包人进场的建筑材料、设备未向</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报验或</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要求承包人在规定时间内将不合格的建筑材料、设备退场的，而承包人未能在规定内退场的，</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每次对承包人罚款合同价款的1%；承包人将不合格材料使用于工程的，</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责令其改正并按每发现一次对承包人处以合同价款1％的罚款。承包人如果拒绝退场或拒绝改正，</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有权单方面终止合同，承包人应承担由此而产生的违约责任和</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的损失,并按承包合同价款的10%处罚承包人。</w:t>
      </w:r>
    </w:p>
    <w:p w14:paraId="63F96A42">
      <w:pPr>
        <w:spacing w:before="120" w:beforeLines="50" w:after="120" w:afterLines="50" w:line="360" w:lineRule="auto"/>
        <w:ind w:left="425"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4、</w:t>
      </w:r>
      <w:r>
        <w:rPr>
          <w:rFonts w:hint="eastAsia" w:ascii="宋体" w:hAnsi="宋体" w:eastAsia="宋体" w:cs="宋体"/>
          <w:bCs/>
          <w:color w:val="auto"/>
          <w:sz w:val="24"/>
          <w:szCs w:val="24"/>
        </w:rPr>
        <w:t>招标人保留对用于本工程的所有材料、设备的质量抽查权。抽查检验不合格的，其抽查检验费用由承包人承担。招标人抽查发现材料、设备不合格的，承包人应予以退货。已经用于工程的，责令其整改，并按每发现一次对承包人处以合同价款1％的罚款。</w:t>
      </w:r>
    </w:p>
    <w:p w14:paraId="7164F0D4">
      <w:pPr>
        <w:spacing w:before="120" w:beforeLines="50" w:after="120" w:afterLines="50" w:line="360" w:lineRule="auto"/>
        <w:ind w:left="425"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5、</w:t>
      </w:r>
      <w:r>
        <w:rPr>
          <w:rFonts w:hint="eastAsia" w:ascii="宋体" w:hAnsi="宋体" w:eastAsia="宋体" w:cs="宋体"/>
          <w:bCs/>
          <w:color w:val="auto"/>
          <w:sz w:val="24"/>
          <w:szCs w:val="24"/>
        </w:rPr>
        <w:t>隐蔽工程未经</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现场代表验收或验收不合格的，承包人擅自进行隐蔽的，责令改正，每发现一次，</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对承包人罚款合同价款的1％，</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应当要承包人予以剥开重新检验，检验结果不管如何，其费用均由承包人承担。</w:t>
      </w:r>
    </w:p>
    <w:p w14:paraId="7CF1775F">
      <w:pPr>
        <w:spacing w:before="120" w:beforeLines="50" w:after="120" w:afterLines="50" w:line="360" w:lineRule="auto"/>
        <w:ind w:left="425"/>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三、项目商务要求★（带“★”号条款为实质性款,投标人需对以下条款做出响应或承诺。若负偏,将视为无效标。）</w:t>
      </w:r>
    </w:p>
    <w:p w14:paraId="7F3A7850">
      <w:pPr>
        <w:spacing w:before="120" w:beforeLines="50" w:after="120" w:afterLines="50" w:line="360" w:lineRule="auto"/>
        <w:ind w:left="425"/>
        <w:rPr>
          <w:rFonts w:hint="eastAsia" w:ascii="宋体" w:hAnsi="宋体" w:eastAsia="宋体" w:cs="宋体"/>
          <w:bCs/>
          <w:color w:val="auto"/>
          <w:sz w:val="24"/>
          <w:szCs w:val="24"/>
        </w:rPr>
      </w:pPr>
      <w:r>
        <w:rPr>
          <w:rFonts w:hint="eastAsia" w:ascii="宋体" w:hAnsi="宋体" w:eastAsia="宋体" w:cs="宋体"/>
          <w:bCs/>
          <w:color w:val="auto"/>
          <w:sz w:val="24"/>
          <w:szCs w:val="24"/>
        </w:rPr>
        <w:t>1、交付时间：合同签订后</w:t>
      </w:r>
      <w:r>
        <w:rPr>
          <w:rFonts w:hint="eastAsia" w:ascii="宋体" w:hAnsi="宋体" w:cs="宋体"/>
          <w:bCs/>
          <w:color w:val="auto"/>
          <w:sz w:val="24"/>
          <w:szCs w:val="24"/>
          <w:lang w:val="en-US" w:eastAsia="zh-CN"/>
        </w:rPr>
        <w:t>20</w:t>
      </w:r>
      <w:r>
        <w:rPr>
          <w:rFonts w:hint="eastAsia" w:ascii="宋体" w:hAnsi="宋体" w:eastAsia="宋体" w:cs="宋体"/>
          <w:bCs/>
          <w:color w:val="auto"/>
          <w:sz w:val="24"/>
          <w:szCs w:val="24"/>
        </w:rPr>
        <w:t>日内。</w:t>
      </w:r>
    </w:p>
    <w:p w14:paraId="11F2F29D">
      <w:pPr>
        <w:spacing w:before="120" w:beforeLines="50" w:after="120" w:afterLines="50" w:line="360" w:lineRule="auto"/>
        <w:ind w:left="425"/>
        <w:rPr>
          <w:rFonts w:hint="eastAsia" w:ascii="宋体" w:hAnsi="宋体" w:eastAsia="宋体" w:cs="宋体"/>
          <w:bCs/>
          <w:color w:val="auto"/>
          <w:sz w:val="24"/>
          <w:szCs w:val="24"/>
        </w:rPr>
      </w:pPr>
      <w:r>
        <w:rPr>
          <w:rFonts w:hint="eastAsia" w:ascii="宋体" w:hAnsi="宋体" w:eastAsia="宋体" w:cs="宋体"/>
          <w:bCs/>
          <w:color w:val="auto"/>
          <w:sz w:val="24"/>
          <w:szCs w:val="24"/>
        </w:rPr>
        <w:t>2、交付地点：</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指定地点。</w:t>
      </w:r>
    </w:p>
    <w:p w14:paraId="11403EB3">
      <w:pPr>
        <w:spacing w:before="120" w:beforeLines="50" w:after="120" w:afterLines="50" w:line="360" w:lineRule="auto"/>
        <w:ind w:left="425"/>
        <w:rPr>
          <w:rFonts w:hint="eastAsia" w:ascii="宋体" w:hAnsi="宋体" w:eastAsia="宋体" w:cs="宋体"/>
          <w:bCs/>
          <w:color w:val="auto"/>
          <w:sz w:val="24"/>
          <w:szCs w:val="24"/>
        </w:rPr>
      </w:pPr>
      <w:r>
        <w:rPr>
          <w:rFonts w:hint="eastAsia" w:ascii="宋体" w:hAnsi="宋体" w:eastAsia="宋体" w:cs="宋体"/>
          <w:bCs/>
          <w:color w:val="auto"/>
          <w:sz w:val="24"/>
          <w:szCs w:val="24"/>
        </w:rPr>
        <w:t>3、结算方式：待</w:t>
      </w:r>
      <w:r>
        <w:rPr>
          <w:rFonts w:hint="eastAsia" w:ascii="宋体" w:hAnsi="宋体" w:eastAsia="宋体" w:cs="宋体"/>
          <w:bCs/>
          <w:color w:val="auto"/>
          <w:sz w:val="24"/>
          <w:szCs w:val="24"/>
          <w:lang w:val="en-US" w:eastAsia="zh-CN"/>
        </w:rPr>
        <w:t>承包人</w:t>
      </w:r>
      <w:r>
        <w:rPr>
          <w:rFonts w:hint="eastAsia" w:ascii="宋体" w:hAnsi="宋体" w:cs="宋体"/>
          <w:bCs/>
          <w:color w:val="auto"/>
          <w:sz w:val="24"/>
          <w:szCs w:val="24"/>
          <w:lang w:val="en-US" w:eastAsia="zh-CN"/>
        </w:rPr>
        <w:t>按照合同实施</w:t>
      </w:r>
      <w:r>
        <w:rPr>
          <w:rFonts w:hint="eastAsia" w:ascii="宋体" w:hAnsi="宋体" w:eastAsia="宋体" w:cs="宋体"/>
          <w:bCs/>
          <w:color w:val="auto"/>
          <w:sz w:val="24"/>
          <w:szCs w:val="24"/>
        </w:rPr>
        <w:t>，且通过我院内部验收完毕后30天内支付全部款项。</w:t>
      </w:r>
    </w:p>
    <w:p w14:paraId="5BF6D349">
      <w:pPr>
        <w:spacing w:before="120" w:beforeLines="50" w:after="120" w:afterLines="50" w:line="360" w:lineRule="auto"/>
        <w:ind w:left="425"/>
        <w:rPr>
          <w:rFonts w:hint="eastAsia" w:ascii="宋体" w:hAnsi="宋体" w:eastAsia="宋体" w:cs="宋体"/>
          <w:bCs/>
          <w:color w:val="auto"/>
          <w:sz w:val="24"/>
          <w:szCs w:val="24"/>
        </w:rPr>
      </w:pPr>
      <w:r>
        <w:rPr>
          <w:rFonts w:hint="eastAsia" w:ascii="宋体" w:hAnsi="宋体" w:eastAsia="宋体" w:cs="宋体"/>
          <w:bCs/>
          <w:color w:val="auto"/>
          <w:sz w:val="24"/>
          <w:szCs w:val="24"/>
        </w:rPr>
        <w:t>5、中标后合同条款以</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模板为准。</w:t>
      </w:r>
    </w:p>
    <w:p w14:paraId="79F83CE4">
      <w:pPr>
        <w:spacing w:before="120" w:beforeLines="50" w:after="120" w:afterLines="50" w:line="360" w:lineRule="auto"/>
        <w:ind w:left="425"/>
        <w:rPr>
          <w:rFonts w:hint="eastAsia" w:ascii="宋体" w:hAnsi="宋体" w:eastAsia="宋体" w:cs="宋体"/>
          <w:bCs/>
          <w:color w:val="auto"/>
          <w:sz w:val="24"/>
          <w:szCs w:val="24"/>
        </w:rPr>
      </w:pPr>
      <w:r>
        <w:rPr>
          <w:rFonts w:hint="eastAsia" w:ascii="宋体" w:hAnsi="宋体" w:eastAsia="宋体" w:cs="宋体"/>
          <w:bCs/>
          <w:color w:val="auto"/>
          <w:sz w:val="24"/>
          <w:szCs w:val="24"/>
        </w:rPr>
        <w:t>6.在签订合同之后，</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有权提出因国家规范标准和规程发生变化而产生的一些补充要求，具体项目由双方共同商定，合同不因此而加价。</w:t>
      </w:r>
    </w:p>
    <w:p w14:paraId="451FA915">
      <w:pPr>
        <w:spacing w:before="120" w:beforeLines="50" w:after="120" w:afterLines="50" w:line="360" w:lineRule="auto"/>
        <w:ind w:left="425"/>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7、</w:t>
      </w:r>
      <w:r>
        <w:rPr>
          <w:rFonts w:hint="eastAsia" w:ascii="宋体" w:hAnsi="宋体" w:eastAsia="宋体" w:cs="宋体"/>
          <w:bCs/>
          <w:color w:val="auto"/>
          <w:sz w:val="24"/>
          <w:szCs w:val="24"/>
        </w:rPr>
        <w:t>争议的解决方式: 向</w:t>
      </w:r>
      <w:r>
        <w:rPr>
          <w:rFonts w:hint="eastAsia" w:ascii="宋体" w:hAnsi="宋体" w:cs="宋体"/>
          <w:bCs/>
          <w:color w:val="auto"/>
          <w:sz w:val="24"/>
          <w:szCs w:val="24"/>
          <w:lang w:val="en-US" w:eastAsia="zh-CN"/>
        </w:rPr>
        <w:t>采购人</w:t>
      </w:r>
      <w:r>
        <w:rPr>
          <w:rFonts w:hint="eastAsia" w:ascii="宋体" w:hAnsi="宋体" w:eastAsia="宋体" w:cs="宋体"/>
          <w:bCs/>
          <w:color w:val="auto"/>
          <w:sz w:val="24"/>
          <w:szCs w:val="24"/>
        </w:rPr>
        <w:t>所在地有管辖权的人民法院提起诉讼。</w:t>
      </w:r>
    </w:p>
    <w:p w14:paraId="0C62953C">
      <w:pPr>
        <w:spacing w:before="120" w:beforeLines="50" w:after="120" w:afterLines="50" w:line="360" w:lineRule="auto"/>
        <w:ind w:left="425"/>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8、</w:t>
      </w:r>
      <w:r>
        <w:rPr>
          <w:rFonts w:hint="eastAsia" w:ascii="宋体" w:hAnsi="宋体" w:eastAsia="宋体" w:cs="宋体"/>
          <w:bCs/>
          <w:color w:val="auto"/>
          <w:sz w:val="24"/>
          <w:szCs w:val="24"/>
        </w:rPr>
        <w:t>其他要求</w:t>
      </w:r>
    </w:p>
    <w:p w14:paraId="28D8B4CA">
      <w:pPr>
        <w:spacing w:before="120" w:beforeLines="50" w:after="120" w:afterLines="50" w:line="360" w:lineRule="auto"/>
        <w:ind w:left="425"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8.</w:t>
      </w:r>
      <w:r>
        <w:rPr>
          <w:rFonts w:hint="eastAsia" w:ascii="宋体" w:hAnsi="宋体" w:eastAsia="宋体" w:cs="宋体"/>
          <w:bCs/>
          <w:color w:val="auto"/>
          <w:sz w:val="24"/>
          <w:szCs w:val="24"/>
        </w:rPr>
        <w:t>1、工程违约分包处理。本工程不允许承包人以任何名义进行转包。未经</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同意擅自分包或违法分包，</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有权责令其退场，并按承包合同总额20％处罚承包人，并有权单方面终止合同，由此产生的责任和损失均由承包人负责，</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有权向承包人索赔。</w:t>
      </w:r>
    </w:p>
    <w:p w14:paraId="6EFAFF08">
      <w:pPr>
        <w:spacing w:before="120" w:beforeLines="50" w:after="120" w:afterLines="50" w:line="360" w:lineRule="auto"/>
        <w:ind w:left="425"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8.</w:t>
      </w:r>
      <w:r>
        <w:rPr>
          <w:rFonts w:hint="eastAsia" w:ascii="宋体" w:hAnsi="宋体" w:eastAsia="宋体" w:cs="宋体"/>
          <w:bCs/>
          <w:color w:val="auto"/>
          <w:sz w:val="24"/>
          <w:szCs w:val="24"/>
        </w:rPr>
        <w:t>2、上述违约金和赔偿损失的费用，由</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从承包人的工程款中抵扣或承包人的履约保证金中扣取。</w:t>
      </w:r>
    </w:p>
    <w:p w14:paraId="2AB74C06">
      <w:pPr>
        <w:spacing w:before="120" w:beforeLines="50" w:after="120" w:afterLines="50" w:line="360" w:lineRule="auto"/>
        <w:ind w:left="425"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8.</w:t>
      </w:r>
      <w:r>
        <w:rPr>
          <w:rFonts w:hint="eastAsia" w:ascii="宋体" w:hAnsi="宋体" w:eastAsia="宋体" w:cs="宋体"/>
          <w:bCs/>
          <w:color w:val="auto"/>
          <w:sz w:val="24"/>
          <w:szCs w:val="24"/>
        </w:rPr>
        <w:t>3、施工过程中场地清洁卫生的要求：承包人应负责整个场地的安全文明卫生管理，做到文明施工，保持施工场地清洁，不能影响门诊楼内的其他正常医疗工作，且无条件服从</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对于施工时间等各项管理要求。施工过程中发生的各项清理费用、临时性收费、临时设施费和相关不可预见的费用，均包括在合同总价中。</w:t>
      </w:r>
    </w:p>
    <w:p w14:paraId="352DBA85">
      <w:pPr>
        <w:spacing w:before="120" w:beforeLines="50" w:after="120" w:afterLines="50" w:line="360" w:lineRule="auto"/>
        <w:ind w:left="425"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8.</w:t>
      </w:r>
      <w:r>
        <w:rPr>
          <w:rFonts w:hint="eastAsia" w:ascii="宋体" w:hAnsi="宋体" w:eastAsia="宋体" w:cs="宋体"/>
          <w:bCs/>
          <w:color w:val="auto"/>
          <w:sz w:val="24"/>
          <w:szCs w:val="24"/>
        </w:rPr>
        <w:t>4、承包人应保证施工现场所有人员的安全，采用封闭式施工，如遇施工现场的所有安全事故问题均由承包人承担所有责任及一切费用。</w:t>
      </w:r>
    </w:p>
    <w:p w14:paraId="36DCB065">
      <w:pPr>
        <w:spacing w:before="120" w:beforeLines="50" w:after="120" w:afterLines="50" w:line="360" w:lineRule="auto"/>
        <w:ind w:left="425"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8.</w:t>
      </w:r>
      <w:r>
        <w:rPr>
          <w:rFonts w:hint="eastAsia" w:ascii="宋体" w:hAnsi="宋体" w:eastAsia="宋体" w:cs="宋体"/>
          <w:bCs/>
          <w:color w:val="auto"/>
          <w:sz w:val="24"/>
          <w:szCs w:val="24"/>
        </w:rPr>
        <w:t>5、在施工过程至项目完成移交</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之前，承包人应负责协调与城管等相关行政执法部门的关系，并负责办理相关手续，承担一切费用。</w:t>
      </w:r>
    </w:p>
    <w:p w14:paraId="6BFEC886">
      <w:pPr>
        <w:spacing w:before="120" w:beforeLines="50" w:after="120" w:afterLines="50" w:line="360" w:lineRule="auto"/>
        <w:ind w:left="425"/>
        <w:rPr>
          <w:rFonts w:hint="eastAsia" w:ascii="宋体" w:hAnsi="宋体" w:eastAsia="宋体" w:cs="宋体"/>
          <w:bCs/>
          <w:color w:val="auto"/>
          <w:sz w:val="24"/>
          <w:szCs w:val="24"/>
        </w:rPr>
      </w:pPr>
    </w:p>
    <w:p w14:paraId="3CB38EBC">
      <w:pPr>
        <w:spacing w:before="120" w:beforeLines="50" w:after="120" w:afterLines="50" w:line="360" w:lineRule="auto"/>
        <w:ind w:left="425"/>
        <w:rPr>
          <w:rFonts w:hint="eastAsia" w:ascii="宋体" w:hAnsi="宋体" w:eastAsia="宋体" w:cs="宋体"/>
          <w:b/>
          <w:color w:val="auto"/>
          <w:sz w:val="24"/>
          <w:szCs w:val="24"/>
        </w:rPr>
      </w:pPr>
      <w:r>
        <w:rPr>
          <w:rFonts w:hint="eastAsia" w:ascii="宋体" w:hAnsi="宋体" w:eastAsia="宋体" w:cs="宋体"/>
          <w:b/>
          <w:color w:val="auto"/>
          <w:sz w:val="24"/>
          <w:szCs w:val="24"/>
        </w:rPr>
        <w:t>四、评分标准（潜在投标人需提供</w:t>
      </w:r>
      <w:r>
        <w:rPr>
          <w:rFonts w:hint="eastAsia" w:ascii="宋体" w:hAnsi="宋体" w:eastAsia="宋体" w:cs="宋体"/>
          <w:b/>
          <w:color w:val="auto"/>
          <w:sz w:val="24"/>
          <w:szCs w:val="24"/>
          <w:lang w:val="en-US" w:eastAsia="zh-CN"/>
        </w:rPr>
        <w:t>评分</w:t>
      </w:r>
      <w:r>
        <w:rPr>
          <w:rFonts w:hint="eastAsia" w:ascii="宋体" w:hAnsi="宋体" w:eastAsia="宋体" w:cs="宋体"/>
          <w:b/>
          <w:color w:val="auto"/>
          <w:sz w:val="24"/>
          <w:szCs w:val="24"/>
        </w:rPr>
        <w:t>表）</w:t>
      </w:r>
    </w:p>
    <w:p w14:paraId="6F610FE6">
      <w:pPr>
        <w:pStyle w:val="19"/>
        <w:spacing w:before="0" w:beforeAutospacing="0" w:after="0" w:afterAutospacing="0" w:line="360" w:lineRule="auto"/>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一、评分总分值100分，由三部分组成：F1.价格分(</w:t>
      </w:r>
      <w:r>
        <w:rPr>
          <w:rFonts w:hint="eastAsia" w:cs="宋体"/>
          <w:bCs/>
          <w:color w:val="auto"/>
          <w:kern w:val="2"/>
          <w:sz w:val="24"/>
          <w:szCs w:val="24"/>
          <w:lang w:val="en-US" w:eastAsia="zh-CN"/>
        </w:rPr>
        <w:t>15</w:t>
      </w:r>
      <w:r>
        <w:rPr>
          <w:rFonts w:hint="eastAsia" w:ascii="宋体" w:hAnsi="宋体" w:eastAsia="宋体" w:cs="宋体"/>
          <w:bCs/>
          <w:color w:val="auto"/>
          <w:kern w:val="2"/>
          <w:sz w:val="24"/>
          <w:szCs w:val="24"/>
        </w:rPr>
        <w:t>分）；F2.技术分（</w:t>
      </w:r>
      <w:r>
        <w:rPr>
          <w:rFonts w:hint="eastAsia" w:cs="宋体"/>
          <w:bCs/>
          <w:color w:val="auto"/>
          <w:kern w:val="2"/>
          <w:sz w:val="24"/>
          <w:szCs w:val="24"/>
          <w:lang w:val="en-US" w:eastAsia="zh-CN"/>
        </w:rPr>
        <w:t>65</w:t>
      </w:r>
      <w:r>
        <w:rPr>
          <w:rFonts w:hint="eastAsia" w:ascii="宋体" w:hAnsi="宋体" w:eastAsia="宋体" w:cs="宋体"/>
          <w:bCs/>
          <w:color w:val="auto"/>
          <w:kern w:val="2"/>
          <w:sz w:val="24"/>
          <w:szCs w:val="24"/>
        </w:rPr>
        <w:t>分）；F3.商务分（</w:t>
      </w:r>
      <w:r>
        <w:rPr>
          <w:rFonts w:hint="eastAsia" w:cs="宋体"/>
          <w:bCs/>
          <w:color w:val="auto"/>
          <w:kern w:val="2"/>
          <w:sz w:val="24"/>
          <w:szCs w:val="24"/>
          <w:lang w:val="en-US" w:eastAsia="zh-CN"/>
        </w:rPr>
        <w:t>20</w:t>
      </w:r>
      <w:r>
        <w:rPr>
          <w:rFonts w:hint="eastAsia" w:ascii="宋体" w:hAnsi="宋体" w:eastAsia="宋体" w:cs="宋体"/>
          <w:bCs/>
          <w:color w:val="auto"/>
          <w:kern w:val="2"/>
          <w:sz w:val="24"/>
          <w:szCs w:val="24"/>
        </w:rPr>
        <w:t>分）。</w:t>
      </w:r>
    </w:p>
    <w:p w14:paraId="10AB0AB9">
      <w:pPr>
        <w:pStyle w:val="19"/>
        <w:spacing w:before="0" w:beforeAutospacing="0" w:after="0" w:afterAutospacing="0" w:line="360" w:lineRule="auto"/>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二、每个投标人的评标总得分FA＝F1＋F2＋F3=100分（满分时）。</w:t>
      </w:r>
    </w:p>
    <w:p w14:paraId="290854C1">
      <w:pPr>
        <w:pStyle w:val="19"/>
        <w:spacing w:before="0" w:beforeAutospacing="0" w:after="0" w:afterAutospacing="0" w:line="360" w:lineRule="auto"/>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三、各项评审因素的设置如下：</w:t>
      </w:r>
    </w:p>
    <w:p w14:paraId="0EF05A54">
      <w:pPr>
        <w:pStyle w:val="19"/>
        <w:spacing w:before="0" w:beforeAutospacing="0" w:after="0" w:afterAutospacing="0" w:line="360" w:lineRule="auto"/>
        <w:rPr>
          <w:rFonts w:hint="eastAsia" w:ascii="宋体" w:hAnsi="宋体" w:eastAsia="宋体" w:cs="宋体"/>
          <w:bCs/>
          <w:color w:val="auto"/>
          <w:kern w:val="2"/>
          <w:sz w:val="24"/>
          <w:szCs w:val="24"/>
        </w:rPr>
      </w:pPr>
      <w:r>
        <w:rPr>
          <w:rFonts w:hint="eastAsia" w:ascii="宋体" w:hAnsi="宋体" w:eastAsia="宋体" w:cs="宋体"/>
          <w:bCs/>
          <w:color w:val="auto"/>
          <w:kern w:val="2"/>
          <w:sz w:val="24"/>
          <w:szCs w:val="24"/>
        </w:rPr>
        <w:t>①价格项（F1）满分为</w:t>
      </w:r>
      <w:r>
        <w:rPr>
          <w:rFonts w:hint="eastAsia" w:cs="宋体"/>
          <w:bCs/>
          <w:color w:val="auto"/>
          <w:kern w:val="2"/>
          <w:sz w:val="24"/>
          <w:szCs w:val="24"/>
          <w:lang w:val="en-US" w:eastAsia="zh-CN"/>
        </w:rPr>
        <w:t>15</w:t>
      </w:r>
      <w:r>
        <w:rPr>
          <w:rFonts w:hint="eastAsia" w:ascii="宋体" w:hAnsi="宋体" w:eastAsia="宋体" w:cs="宋体"/>
          <w:bCs/>
          <w:color w:val="auto"/>
          <w:kern w:val="2"/>
          <w:sz w:val="24"/>
          <w:szCs w:val="24"/>
        </w:rPr>
        <w:t>分。价格分采用低价优先法计算，即满足</w:t>
      </w:r>
      <w:r>
        <w:rPr>
          <w:rFonts w:hint="eastAsia" w:cs="宋体"/>
          <w:bCs/>
          <w:color w:val="auto"/>
          <w:kern w:val="2"/>
          <w:sz w:val="24"/>
          <w:szCs w:val="24"/>
          <w:lang w:eastAsia="zh-CN"/>
        </w:rPr>
        <w:t>招标文件</w:t>
      </w:r>
      <w:r>
        <w:rPr>
          <w:rFonts w:hint="eastAsia" w:ascii="宋体" w:hAnsi="宋体" w:eastAsia="宋体" w:cs="宋体"/>
          <w:bCs/>
          <w:color w:val="auto"/>
          <w:kern w:val="2"/>
          <w:sz w:val="24"/>
          <w:szCs w:val="24"/>
        </w:rPr>
        <w:t>要求且报价最低的投标人的价格为报价基准价，其价格分为满分。其他投标人的价格分统一按照下列公式计算：F1=（报价基准价/ 投标人的价格）×15(四舍五入小数点后保留两位)</w:t>
      </w:r>
    </w:p>
    <w:tbl>
      <w:tblPr>
        <w:tblStyle w:val="2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8A045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B475CD6">
            <w:pPr>
              <w:pStyle w:val="123"/>
              <w:jc w:val="left"/>
              <w:rPr>
                <w:rFonts w:hint="eastAsia" w:ascii="宋体" w:hAnsi="宋体" w:eastAsia="宋体" w:cs="宋体"/>
              </w:rPr>
            </w:pPr>
            <w:r>
              <w:rPr>
                <w:rFonts w:hint="eastAsia" w:ascii="宋体" w:hAnsi="宋体" w:eastAsia="宋体" w:cs="宋体"/>
              </w:rPr>
              <w:t>异常低价审查</w:t>
            </w:r>
          </w:p>
        </w:tc>
        <w:tc>
          <w:tcPr>
            <w:tcW w:w="4153" w:type="dxa"/>
          </w:tcPr>
          <w:p w14:paraId="5102BBFE">
            <w:pPr>
              <w:pStyle w:val="123"/>
              <w:jc w:val="left"/>
              <w:rPr>
                <w:rFonts w:hint="eastAsia" w:ascii="宋体" w:hAnsi="宋体" w:eastAsia="宋体" w:cs="宋体"/>
              </w:rPr>
            </w:pPr>
            <w:r>
              <w:rPr>
                <w:rFonts w:hint="eastAsia" w:ascii="宋体" w:hAnsi="宋体" w:eastAsia="宋体" w:cs="宋体"/>
              </w:rPr>
              <w:t>根据《关于推动解决政府采购异常低价问题的通知》（财库〔2026〕2号）等相关规定，政府采购评审中出现下列情形之一的，评审委员会应当启动异常低价投标（响应）审查程序： （1）合计响应报价响应报价低于全部通过符合性审查</w:t>
            </w:r>
            <w:r>
              <w:rPr>
                <w:rFonts w:hint="eastAsia" w:ascii="宋体" w:hAnsi="宋体" w:eastAsia="宋体" w:cs="宋体"/>
                <w:lang w:eastAsia="zh-CN"/>
              </w:rPr>
              <w:t>投标人</w:t>
            </w:r>
            <w:r>
              <w:rPr>
                <w:rFonts w:hint="eastAsia" w:ascii="宋体" w:hAnsi="宋体" w:eastAsia="宋体" w:cs="宋体"/>
              </w:rPr>
              <w:t>响应报价平均值50%的，即合计响应报价响应报价&lt;全部通过符合性审查</w:t>
            </w:r>
            <w:r>
              <w:rPr>
                <w:rFonts w:hint="eastAsia" w:ascii="宋体" w:hAnsi="宋体" w:eastAsia="宋体" w:cs="宋体"/>
                <w:lang w:eastAsia="zh-CN"/>
              </w:rPr>
              <w:t>投标人</w:t>
            </w:r>
            <w:r>
              <w:rPr>
                <w:rFonts w:hint="eastAsia" w:ascii="宋体" w:hAnsi="宋体" w:eastAsia="宋体" w:cs="宋体"/>
              </w:rPr>
              <w:t>响应报价平均值×50%。 （2）合计响应报价响应报价低于通过符合性审查且报价次低</w:t>
            </w:r>
            <w:r>
              <w:rPr>
                <w:rFonts w:hint="eastAsia" w:ascii="宋体" w:hAnsi="宋体" w:eastAsia="宋体" w:cs="宋体"/>
                <w:lang w:eastAsia="zh-CN"/>
              </w:rPr>
              <w:t>投标人</w:t>
            </w:r>
            <w:r>
              <w:rPr>
                <w:rFonts w:hint="eastAsia" w:ascii="宋体" w:hAnsi="宋体" w:eastAsia="宋体" w:cs="宋体"/>
              </w:rPr>
              <w:t>响应报价50%的，即合计响应报价响应报价&lt;通过符合性审查且报价次低</w:t>
            </w:r>
            <w:r>
              <w:rPr>
                <w:rFonts w:hint="eastAsia" w:ascii="宋体" w:hAnsi="宋体" w:eastAsia="宋体" w:cs="宋体"/>
                <w:lang w:eastAsia="zh-CN"/>
              </w:rPr>
              <w:t>投标人</w:t>
            </w:r>
            <w:r>
              <w:rPr>
                <w:rFonts w:hint="eastAsia" w:ascii="宋体" w:hAnsi="宋体" w:eastAsia="宋体" w:cs="宋体"/>
              </w:rPr>
              <w:t>响应报价×50%。 （3）合计响应报价响应报价低于最高限价45%的，即合计响应报价响应报价&lt;最高限价×45%。 （4）其他评审委员会认为</w:t>
            </w:r>
            <w:r>
              <w:rPr>
                <w:rFonts w:hint="eastAsia" w:ascii="宋体" w:hAnsi="宋体" w:eastAsia="宋体" w:cs="宋体"/>
                <w:lang w:eastAsia="zh-CN"/>
              </w:rPr>
              <w:t>投标人</w:t>
            </w:r>
            <w:r>
              <w:rPr>
                <w:rFonts w:hint="eastAsia" w:ascii="宋体" w:hAnsi="宋体" w:eastAsia="宋体" w:cs="宋体"/>
              </w:rPr>
              <w:t>报价过低，有可能影响产品质量或者不能诚信履约的情形。 评审委员会启动异常低价投标（响应）审查后，应当要求相关</w:t>
            </w:r>
            <w:r>
              <w:rPr>
                <w:rFonts w:hint="eastAsia" w:ascii="宋体" w:hAnsi="宋体" w:eastAsia="宋体" w:cs="宋体"/>
                <w:lang w:eastAsia="zh-CN"/>
              </w:rPr>
              <w:t>投标人</w:t>
            </w:r>
            <w:r>
              <w:rPr>
                <w:rFonts w:hint="eastAsia" w:ascii="宋体" w:hAnsi="宋体" w:eastAsia="宋体" w:cs="宋体"/>
              </w:rPr>
              <w:t>在评审现场合理的时间内提供书面说明及必要的证明材料，对投标（响应）价格作出解释。</w:t>
            </w:r>
          </w:p>
        </w:tc>
      </w:tr>
    </w:tbl>
    <w:p w14:paraId="3A2C0F92">
      <w:pPr>
        <w:pStyle w:val="19"/>
        <w:spacing w:before="0" w:beforeAutospacing="0" w:after="0" w:afterAutospacing="0" w:line="360" w:lineRule="auto"/>
        <w:rPr>
          <w:rFonts w:hint="eastAsia" w:ascii="宋体" w:hAnsi="宋体" w:eastAsia="宋体" w:cs="宋体"/>
          <w:bCs/>
          <w:color w:val="auto"/>
          <w:kern w:val="2"/>
          <w:sz w:val="24"/>
          <w:szCs w:val="24"/>
        </w:rPr>
      </w:pPr>
    </w:p>
    <w:p w14:paraId="57C28511">
      <w:pPr>
        <w:pStyle w:val="19"/>
        <w:spacing w:before="0" w:beforeAutospacing="0" w:after="0" w:afterAutospacing="0" w:line="360" w:lineRule="auto"/>
        <w:jc w:val="both"/>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rPr>
        <w:t>②技术项（F2×A2）满分为</w:t>
      </w:r>
      <w:r>
        <w:rPr>
          <w:rFonts w:hint="eastAsia" w:cs="宋体"/>
          <w:bCs/>
          <w:color w:val="auto"/>
          <w:kern w:val="2"/>
          <w:sz w:val="24"/>
          <w:szCs w:val="24"/>
          <w:highlight w:val="none"/>
          <w:lang w:val="en-US" w:eastAsia="zh-CN"/>
        </w:rPr>
        <w:t>65.00</w:t>
      </w:r>
      <w:r>
        <w:rPr>
          <w:rFonts w:hint="eastAsia" w:ascii="宋体" w:hAnsi="宋体" w:eastAsia="宋体" w:cs="宋体"/>
          <w:bCs/>
          <w:color w:val="auto"/>
          <w:kern w:val="2"/>
          <w:sz w:val="24"/>
          <w:szCs w:val="24"/>
          <w:highlight w:val="none"/>
        </w:rPr>
        <w:t>分</w:t>
      </w:r>
    </w:p>
    <w:tbl>
      <w:tblPr>
        <w:tblStyle w:val="24"/>
        <w:tblW w:w="9276" w:type="dxa"/>
        <w:jc w:val="center"/>
        <w:tblLayout w:type="autofit"/>
        <w:tblCellMar>
          <w:top w:w="0" w:type="dxa"/>
          <w:left w:w="0" w:type="dxa"/>
          <w:bottom w:w="0" w:type="dxa"/>
          <w:right w:w="0" w:type="dxa"/>
        </w:tblCellMar>
      </w:tblPr>
      <w:tblGrid>
        <w:gridCol w:w="972"/>
        <w:gridCol w:w="540"/>
        <w:gridCol w:w="7764"/>
      </w:tblGrid>
      <w:tr w14:paraId="3F78748E">
        <w:tblPrEx>
          <w:tblCellMar>
            <w:top w:w="0" w:type="dxa"/>
            <w:left w:w="0" w:type="dxa"/>
            <w:bottom w:w="0" w:type="dxa"/>
            <w:right w:w="0" w:type="dxa"/>
          </w:tblCellMar>
        </w:tblPrEx>
        <w:trPr>
          <w:jc w:val="center"/>
        </w:trPr>
        <w:tc>
          <w:tcPr>
            <w:tcW w:w="972"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F171E49">
            <w:pPr>
              <w:pStyle w:val="19"/>
              <w:spacing w:before="0" w:beforeAutospacing="0" w:after="0" w:afterAutospacing="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54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61613D3">
            <w:pPr>
              <w:pStyle w:val="19"/>
              <w:spacing w:before="0" w:beforeAutospacing="0" w:after="0" w:afterAutospacing="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776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6FF310CF">
            <w:pPr>
              <w:pStyle w:val="19"/>
              <w:spacing w:before="0" w:beforeAutospacing="0" w:after="0" w:afterAutospacing="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描述</w:t>
            </w:r>
          </w:p>
        </w:tc>
      </w:tr>
      <w:tr w14:paraId="61F39EF4">
        <w:tblPrEx>
          <w:tblCellMar>
            <w:top w:w="0" w:type="dxa"/>
            <w:left w:w="0" w:type="dxa"/>
            <w:bottom w:w="0" w:type="dxa"/>
            <w:right w:w="0" w:type="dxa"/>
          </w:tblCellMar>
        </w:tblPrEx>
        <w:trPr>
          <w:jc w:val="center"/>
        </w:trPr>
        <w:tc>
          <w:tcPr>
            <w:tcW w:w="972"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FDF19AF">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施工组织设计</w:t>
            </w: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14:paraId="105CE266">
            <w:pPr>
              <w:spacing w:line="36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6</w:t>
            </w:r>
          </w:p>
        </w:tc>
        <w:tc>
          <w:tcPr>
            <w:tcW w:w="7764" w:type="dxa"/>
            <w:tcBorders>
              <w:top w:val="nil"/>
              <w:left w:val="nil"/>
              <w:bottom w:val="single" w:color="auto" w:sz="8" w:space="0"/>
              <w:right w:val="single" w:color="auto" w:sz="8" w:space="0"/>
            </w:tcBorders>
            <w:shd w:val="clear" w:color="auto" w:fill="auto"/>
            <w:tcMar>
              <w:left w:w="108" w:type="dxa"/>
              <w:right w:w="108" w:type="dxa"/>
            </w:tcMar>
            <w:vAlign w:val="center"/>
          </w:tcPr>
          <w:p w14:paraId="487EAF78">
            <w:pPr>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要求投标人针对工程实际情况提交施工组织设计方案，包括工程概况、施工方案、施工平面布置图、施工进度计划、主要施工机械设备和主要材料情况描述及进场计划等。根据投标人施工组织设计的科学、合理情况，分别进行评分。由评标委员会进行评分：方案包含的要点齐全无缺漏项、内容与要点相符、每个要点均有展开详细的阐述且能够适用于本项目得</w:t>
            </w:r>
            <w:r>
              <w:rPr>
                <w:rFonts w:hint="eastAsia" w:ascii="宋体" w:hAnsi="宋体" w:cs="宋体"/>
                <w:sz w:val="24"/>
                <w:szCs w:val="24"/>
                <w:lang w:val="en-US" w:eastAsia="zh-CN"/>
              </w:rPr>
              <w:t>6</w:t>
            </w:r>
            <w:r>
              <w:rPr>
                <w:rFonts w:hint="eastAsia" w:ascii="宋体" w:hAnsi="宋体" w:eastAsia="宋体" w:cs="宋体"/>
                <w:sz w:val="24"/>
                <w:szCs w:val="24"/>
              </w:rPr>
              <w:t>分；方案所包含的要点齐全、内容与要点相符、每个要点均有展开阐述且基本能够适用于本项目的得</w:t>
            </w:r>
            <w:r>
              <w:rPr>
                <w:rFonts w:hint="eastAsia" w:ascii="宋体" w:hAnsi="宋体" w:cs="宋体"/>
                <w:sz w:val="24"/>
                <w:szCs w:val="24"/>
                <w:lang w:val="en-US" w:eastAsia="zh-CN"/>
              </w:rPr>
              <w:t>5.9</w:t>
            </w:r>
            <w:r>
              <w:rPr>
                <w:rFonts w:hint="eastAsia" w:ascii="宋体" w:hAnsi="宋体" w:eastAsia="宋体" w:cs="宋体"/>
                <w:sz w:val="24"/>
                <w:szCs w:val="24"/>
              </w:rPr>
              <w:t>分；方案所包含的要点有缺漏、内容与要点相符但仅有纲要、内容简略，未展开详细阐述但基本能够适用于本项目的得</w:t>
            </w:r>
            <w:r>
              <w:rPr>
                <w:rFonts w:hint="eastAsia" w:ascii="宋体" w:hAnsi="宋体" w:cs="宋体"/>
                <w:sz w:val="24"/>
                <w:szCs w:val="24"/>
                <w:lang w:val="en-US" w:eastAsia="zh-CN"/>
              </w:rPr>
              <w:t>5.8</w:t>
            </w:r>
            <w:r>
              <w:rPr>
                <w:rFonts w:hint="eastAsia" w:ascii="宋体" w:hAnsi="宋体" w:eastAsia="宋体" w:cs="宋体"/>
                <w:sz w:val="24"/>
                <w:szCs w:val="24"/>
              </w:rPr>
              <w:t>分；未提供或内容存在明显错误、内容明显不适用于本项目需求的均不得分。</w:t>
            </w:r>
          </w:p>
        </w:tc>
      </w:tr>
      <w:tr w14:paraId="56307EBF">
        <w:tblPrEx>
          <w:tblCellMar>
            <w:top w:w="0" w:type="dxa"/>
            <w:left w:w="0" w:type="dxa"/>
            <w:bottom w:w="0" w:type="dxa"/>
            <w:right w:w="0" w:type="dxa"/>
          </w:tblCellMar>
        </w:tblPrEx>
        <w:trPr>
          <w:jc w:val="center"/>
        </w:trPr>
        <w:tc>
          <w:tcPr>
            <w:tcW w:w="972" w:type="dxa"/>
            <w:tcBorders>
              <w:top w:val="nil"/>
              <w:left w:val="single" w:color="auto" w:sz="8" w:space="0"/>
              <w:bottom w:val="single" w:color="auto" w:sz="4" w:space="0"/>
              <w:right w:val="single" w:color="auto" w:sz="8" w:space="0"/>
            </w:tcBorders>
            <w:shd w:val="clear" w:color="auto" w:fill="auto"/>
            <w:tcMar>
              <w:left w:w="108" w:type="dxa"/>
              <w:right w:w="108" w:type="dxa"/>
            </w:tcMar>
            <w:vAlign w:val="center"/>
          </w:tcPr>
          <w:p w14:paraId="1BA29E09">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施工进度表</w:t>
            </w:r>
          </w:p>
        </w:tc>
        <w:tc>
          <w:tcPr>
            <w:tcW w:w="540" w:type="dxa"/>
            <w:tcBorders>
              <w:top w:val="nil"/>
              <w:left w:val="nil"/>
              <w:bottom w:val="single" w:color="auto" w:sz="4" w:space="0"/>
              <w:right w:val="single" w:color="auto" w:sz="8" w:space="0"/>
            </w:tcBorders>
            <w:shd w:val="clear" w:color="auto" w:fill="auto"/>
            <w:tcMar>
              <w:left w:w="108" w:type="dxa"/>
              <w:right w:w="108" w:type="dxa"/>
            </w:tcMar>
            <w:vAlign w:val="center"/>
          </w:tcPr>
          <w:p w14:paraId="32F9A464">
            <w:pPr>
              <w:spacing w:line="36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6</w:t>
            </w:r>
          </w:p>
        </w:tc>
        <w:tc>
          <w:tcPr>
            <w:tcW w:w="7764" w:type="dxa"/>
            <w:tcBorders>
              <w:top w:val="nil"/>
              <w:left w:val="nil"/>
              <w:bottom w:val="single" w:color="auto" w:sz="4" w:space="0"/>
              <w:right w:val="single" w:color="auto" w:sz="8" w:space="0"/>
            </w:tcBorders>
            <w:shd w:val="clear" w:color="auto" w:fill="auto"/>
            <w:tcMar>
              <w:left w:w="108" w:type="dxa"/>
              <w:right w:w="108" w:type="dxa"/>
            </w:tcMar>
            <w:vAlign w:val="center"/>
          </w:tcPr>
          <w:p w14:paraId="30BBCC9D">
            <w:pPr>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要求投标人针对本工程</w:t>
            </w:r>
            <w:r>
              <w:rPr>
                <w:rFonts w:hint="eastAsia" w:ascii="宋体" w:hAnsi="宋体" w:cs="宋体"/>
                <w:sz w:val="24"/>
                <w:szCs w:val="24"/>
                <w:lang w:val="en-US" w:eastAsia="zh-CN"/>
              </w:rPr>
              <w:t>工期</w:t>
            </w:r>
            <w:r>
              <w:rPr>
                <w:rFonts w:hint="eastAsia" w:ascii="宋体" w:hAnsi="宋体" w:eastAsia="宋体" w:cs="宋体"/>
                <w:sz w:val="24"/>
                <w:szCs w:val="24"/>
              </w:rPr>
              <w:t>实际情况提交详细的施工进度表。根据投标人提供的施工进度表的科学性、合理性及工期情况，分别进行评分。由评标委员会进行评分：方案包含的要点齐全无缺漏项、内容与要点相符、每个要点均有展开详细的阐述且能够适用于本项目得</w:t>
            </w:r>
            <w:r>
              <w:rPr>
                <w:rFonts w:hint="eastAsia" w:ascii="宋体" w:hAnsi="宋体" w:cs="宋体"/>
                <w:sz w:val="24"/>
                <w:szCs w:val="24"/>
                <w:lang w:val="en-US" w:eastAsia="zh-CN"/>
              </w:rPr>
              <w:t>6</w:t>
            </w:r>
            <w:r>
              <w:rPr>
                <w:rFonts w:hint="eastAsia" w:ascii="宋体" w:hAnsi="宋体" w:eastAsia="宋体" w:cs="宋体"/>
                <w:sz w:val="24"/>
                <w:szCs w:val="24"/>
              </w:rPr>
              <w:t>分；方案所包含的要点齐全、内容与要点相符、每个要点均有展开阐述且基本能够适用于本项目的得</w:t>
            </w:r>
            <w:r>
              <w:rPr>
                <w:rFonts w:hint="eastAsia" w:ascii="宋体" w:hAnsi="宋体" w:cs="宋体"/>
                <w:sz w:val="24"/>
                <w:szCs w:val="24"/>
                <w:lang w:val="en-US" w:eastAsia="zh-CN"/>
              </w:rPr>
              <w:t>5.9</w:t>
            </w:r>
            <w:r>
              <w:rPr>
                <w:rFonts w:hint="eastAsia" w:ascii="宋体" w:hAnsi="宋体" w:eastAsia="宋体" w:cs="宋体"/>
                <w:sz w:val="24"/>
                <w:szCs w:val="24"/>
              </w:rPr>
              <w:t>分；方案所包含的要点有缺漏、内容与要点相符但仅有纲要、内容简略，未展开详细阐述但基本能够适用于本项目的得</w:t>
            </w:r>
            <w:r>
              <w:rPr>
                <w:rFonts w:hint="eastAsia" w:ascii="宋体" w:hAnsi="宋体" w:cs="宋体"/>
                <w:sz w:val="24"/>
                <w:szCs w:val="24"/>
                <w:lang w:val="en-US" w:eastAsia="zh-CN"/>
              </w:rPr>
              <w:t>5.8</w:t>
            </w:r>
            <w:r>
              <w:rPr>
                <w:rFonts w:hint="eastAsia" w:ascii="宋体" w:hAnsi="宋体" w:eastAsia="宋体" w:cs="宋体"/>
                <w:sz w:val="24"/>
                <w:szCs w:val="24"/>
              </w:rPr>
              <w:t>分；未提供或内容存在明显错误、内容明显不适用于本项目需求的均不得分。</w:t>
            </w:r>
          </w:p>
        </w:tc>
      </w:tr>
      <w:tr w14:paraId="2CA983EE">
        <w:tblPrEx>
          <w:tblCellMar>
            <w:top w:w="0" w:type="dxa"/>
            <w:left w:w="0" w:type="dxa"/>
            <w:bottom w:w="0" w:type="dxa"/>
            <w:right w:w="0" w:type="dxa"/>
          </w:tblCellMar>
        </w:tblPrEx>
        <w:trPr>
          <w:jc w:val="center"/>
        </w:trPr>
        <w:tc>
          <w:tcPr>
            <w:tcW w:w="97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7711D65">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生产施工安全和应急措施</w:t>
            </w:r>
          </w:p>
        </w:tc>
        <w:tc>
          <w:tcPr>
            <w:tcW w:w="540"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B5DDB42">
            <w:pPr>
              <w:spacing w:line="36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6</w:t>
            </w:r>
          </w:p>
        </w:tc>
        <w:tc>
          <w:tcPr>
            <w:tcW w:w="776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E7D1369">
            <w:pPr>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根据投标人提供的生产施工中遇到工伤或其它突发事件的应急措施和安全措施，由评标委员会进行评分：方案包含的要点齐全无缺漏项、内容与要点相符、每个要点均有展开详细的阐述且能够适用于本项目得</w:t>
            </w:r>
            <w:r>
              <w:rPr>
                <w:rFonts w:hint="eastAsia" w:ascii="宋体" w:hAnsi="宋体" w:cs="宋体"/>
                <w:sz w:val="24"/>
                <w:szCs w:val="24"/>
                <w:lang w:val="en-US" w:eastAsia="zh-CN"/>
              </w:rPr>
              <w:t>6</w:t>
            </w:r>
            <w:r>
              <w:rPr>
                <w:rFonts w:hint="eastAsia" w:ascii="宋体" w:hAnsi="宋体" w:eastAsia="宋体" w:cs="宋体"/>
                <w:sz w:val="24"/>
                <w:szCs w:val="24"/>
              </w:rPr>
              <w:t>分；方案所包含的要点齐全、内容与要点相符、每个要点均有展开阐述且基本能够适用于本项目的得</w:t>
            </w:r>
            <w:r>
              <w:rPr>
                <w:rFonts w:hint="eastAsia" w:ascii="宋体" w:hAnsi="宋体" w:cs="宋体"/>
                <w:sz w:val="24"/>
                <w:szCs w:val="24"/>
                <w:lang w:val="en-US" w:eastAsia="zh-CN"/>
              </w:rPr>
              <w:t>5.9</w:t>
            </w:r>
            <w:r>
              <w:rPr>
                <w:rFonts w:hint="eastAsia" w:ascii="宋体" w:hAnsi="宋体" w:eastAsia="宋体" w:cs="宋体"/>
                <w:sz w:val="24"/>
                <w:szCs w:val="24"/>
              </w:rPr>
              <w:t>分；方案所包含的要点有缺漏、内容与要点相符但仅有纲要、内容简略，未展开详细阐述但基本能够适用于本项目的得</w:t>
            </w:r>
            <w:r>
              <w:rPr>
                <w:rFonts w:hint="eastAsia" w:ascii="宋体" w:hAnsi="宋体" w:cs="宋体"/>
                <w:sz w:val="24"/>
                <w:szCs w:val="24"/>
                <w:lang w:val="en-US" w:eastAsia="zh-CN"/>
              </w:rPr>
              <w:t>5.8</w:t>
            </w:r>
            <w:r>
              <w:rPr>
                <w:rFonts w:hint="eastAsia" w:ascii="宋体" w:hAnsi="宋体" w:eastAsia="宋体" w:cs="宋体"/>
                <w:sz w:val="24"/>
                <w:szCs w:val="24"/>
              </w:rPr>
              <w:t>分；未提供或内容存在明显错误、内容明显不适用于本项目需求的均不得分。</w:t>
            </w:r>
          </w:p>
        </w:tc>
      </w:tr>
      <w:tr w14:paraId="5556EB82">
        <w:tblPrEx>
          <w:tblCellMar>
            <w:top w:w="0" w:type="dxa"/>
            <w:left w:w="0" w:type="dxa"/>
            <w:bottom w:w="0" w:type="dxa"/>
            <w:right w:w="0" w:type="dxa"/>
          </w:tblCellMar>
        </w:tblPrEx>
        <w:trPr>
          <w:jc w:val="center"/>
        </w:trPr>
        <w:tc>
          <w:tcPr>
            <w:tcW w:w="97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372A04E">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施工平面布置图</w:t>
            </w:r>
          </w:p>
        </w:tc>
        <w:tc>
          <w:tcPr>
            <w:tcW w:w="540"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BC70E9C">
            <w:pPr>
              <w:spacing w:line="36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6</w:t>
            </w:r>
          </w:p>
        </w:tc>
        <w:tc>
          <w:tcPr>
            <w:tcW w:w="7764"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FB16EF4">
            <w:pPr>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根据投标人提供的施工平面布置图的合理性、完整性和可行性（不得影响医院的正常运行），分别进行评分。由评标委员会进行评分：方案包含的要点齐全无缺漏项、内容与要点相符、每个要点均有展开详细的阐述且能够适用于本项目得</w:t>
            </w:r>
            <w:r>
              <w:rPr>
                <w:rFonts w:hint="eastAsia" w:ascii="宋体" w:hAnsi="宋体" w:cs="宋体"/>
                <w:sz w:val="24"/>
                <w:szCs w:val="24"/>
                <w:lang w:val="en-US" w:eastAsia="zh-CN"/>
              </w:rPr>
              <w:t>6</w:t>
            </w:r>
            <w:r>
              <w:rPr>
                <w:rFonts w:hint="eastAsia" w:ascii="宋体" w:hAnsi="宋体" w:eastAsia="宋体" w:cs="宋体"/>
                <w:sz w:val="24"/>
                <w:szCs w:val="24"/>
              </w:rPr>
              <w:t>分；方案所包含的要点齐全、内容与要点相符、每个要点均有展开阐述且基本能够适用于本项目的得</w:t>
            </w:r>
            <w:r>
              <w:rPr>
                <w:rFonts w:hint="eastAsia" w:ascii="宋体" w:hAnsi="宋体" w:cs="宋体"/>
                <w:sz w:val="24"/>
                <w:szCs w:val="24"/>
                <w:lang w:val="en-US" w:eastAsia="zh-CN"/>
              </w:rPr>
              <w:t>5.9</w:t>
            </w:r>
            <w:r>
              <w:rPr>
                <w:rFonts w:hint="eastAsia" w:ascii="宋体" w:hAnsi="宋体" w:eastAsia="宋体" w:cs="宋体"/>
                <w:sz w:val="24"/>
                <w:szCs w:val="24"/>
              </w:rPr>
              <w:t>分；方案所包含的要点有缺漏、内容与要点相符但仅有纲要、内容简略，未展开详细阐述但基本能够适用于本项目的得</w:t>
            </w:r>
            <w:r>
              <w:rPr>
                <w:rFonts w:hint="eastAsia" w:ascii="宋体" w:hAnsi="宋体" w:cs="宋体"/>
                <w:sz w:val="24"/>
                <w:szCs w:val="24"/>
                <w:lang w:val="en-US" w:eastAsia="zh-CN"/>
              </w:rPr>
              <w:t>5.8</w:t>
            </w:r>
            <w:r>
              <w:rPr>
                <w:rFonts w:hint="eastAsia" w:ascii="宋体" w:hAnsi="宋体" w:eastAsia="宋体" w:cs="宋体"/>
                <w:sz w:val="24"/>
                <w:szCs w:val="24"/>
              </w:rPr>
              <w:t>分；未提供或内容存在明显错误、内容明显不适用于本项目需求的均不得分。</w:t>
            </w:r>
          </w:p>
        </w:tc>
      </w:tr>
      <w:tr w14:paraId="5B57AFD5">
        <w:tblPrEx>
          <w:tblCellMar>
            <w:top w:w="0" w:type="dxa"/>
            <w:left w:w="0" w:type="dxa"/>
            <w:bottom w:w="0" w:type="dxa"/>
            <w:right w:w="0" w:type="dxa"/>
          </w:tblCellMar>
        </w:tblPrEx>
        <w:trPr>
          <w:jc w:val="center"/>
        </w:trPr>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141F1069">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实施难点和对策</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64BCAF87">
            <w:pPr>
              <w:spacing w:line="36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eastAsia="zh-CN"/>
              </w:rPr>
              <w:t>6</w:t>
            </w:r>
          </w:p>
        </w:tc>
        <w:tc>
          <w:tcPr>
            <w:tcW w:w="7764" w:type="dxa"/>
            <w:tcBorders>
              <w:top w:val="single" w:color="auto" w:sz="4" w:space="0"/>
              <w:left w:val="single" w:color="auto" w:sz="4" w:space="0"/>
              <w:bottom w:val="single" w:color="auto" w:sz="4" w:space="0"/>
              <w:right w:val="single" w:color="auto" w:sz="4" w:space="0"/>
            </w:tcBorders>
            <w:shd w:val="clear" w:color="auto" w:fill="auto"/>
            <w:vAlign w:val="center"/>
          </w:tcPr>
          <w:p w14:paraId="4B41FE54">
            <w:pPr>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要求投标人指出本招标项目施工的难点，并针对其难点提出相应对策。根据投标人对该工程难点理解的准确性和对策的科学性、可行性程度，由评标委员会进行评分：方案包含的要点齐全无缺漏项、内容与要点相符、每个要点均有展开详细的阐述且能够适用于本项目得</w:t>
            </w:r>
            <w:r>
              <w:rPr>
                <w:rFonts w:hint="eastAsia" w:ascii="宋体" w:hAnsi="宋体" w:cs="宋体"/>
                <w:sz w:val="24"/>
                <w:szCs w:val="24"/>
                <w:lang w:val="en-US" w:eastAsia="zh-CN"/>
              </w:rPr>
              <w:t>6</w:t>
            </w:r>
            <w:r>
              <w:rPr>
                <w:rFonts w:hint="eastAsia" w:ascii="宋体" w:hAnsi="宋体" w:eastAsia="宋体" w:cs="宋体"/>
                <w:sz w:val="24"/>
                <w:szCs w:val="24"/>
              </w:rPr>
              <w:t>分；方案所包含的要点齐全、内容与要点相符、每个要点均有展开阐述且基本能够适用于本项目的得</w:t>
            </w:r>
            <w:r>
              <w:rPr>
                <w:rFonts w:hint="eastAsia" w:ascii="宋体" w:hAnsi="宋体" w:cs="宋体"/>
                <w:sz w:val="24"/>
                <w:szCs w:val="24"/>
                <w:lang w:val="en-US" w:eastAsia="zh-CN"/>
              </w:rPr>
              <w:t>5.9</w:t>
            </w:r>
            <w:r>
              <w:rPr>
                <w:rFonts w:hint="eastAsia" w:ascii="宋体" w:hAnsi="宋体" w:eastAsia="宋体" w:cs="宋体"/>
                <w:sz w:val="24"/>
                <w:szCs w:val="24"/>
              </w:rPr>
              <w:t>分；方案所包含的要点有缺漏、内容与要点相符但仅有纲要、内容简略，未展开详细阐述但基本能够适用于本项目的得</w:t>
            </w:r>
            <w:r>
              <w:rPr>
                <w:rFonts w:hint="eastAsia" w:ascii="宋体" w:hAnsi="宋体" w:cs="宋体"/>
                <w:sz w:val="24"/>
                <w:szCs w:val="24"/>
                <w:lang w:val="en-US" w:eastAsia="zh-CN"/>
              </w:rPr>
              <w:t>5.8</w:t>
            </w:r>
            <w:r>
              <w:rPr>
                <w:rFonts w:hint="eastAsia" w:ascii="宋体" w:hAnsi="宋体" w:eastAsia="宋体" w:cs="宋体"/>
                <w:sz w:val="24"/>
                <w:szCs w:val="24"/>
              </w:rPr>
              <w:t>分；未提供或内容存在明显错误、内容明显不适用于本项目需求的均不得分。</w:t>
            </w:r>
          </w:p>
        </w:tc>
      </w:tr>
      <w:tr w14:paraId="6802A9F7">
        <w:tblPrEx>
          <w:tblCellMar>
            <w:top w:w="0" w:type="dxa"/>
            <w:left w:w="0" w:type="dxa"/>
            <w:bottom w:w="0" w:type="dxa"/>
            <w:right w:w="0" w:type="dxa"/>
          </w:tblCellMar>
        </w:tblPrEx>
        <w:trPr>
          <w:jc w:val="center"/>
        </w:trPr>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1DEA07A1">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材料管理措施</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0187A2D9">
            <w:pPr>
              <w:spacing w:line="360" w:lineRule="auto"/>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6</w:t>
            </w:r>
          </w:p>
        </w:tc>
        <w:tc>
          <w:tcPr>
            <w:tcW w:w="7764" w:type="dxa"/>
            <w:tcBorders>
              <w:top w:val="single" w:color="auto" w:sz="4" w:space="0"/>
              <w:left w:val="single" w:color="auto" w:sz="4" w:space="0"/>
              <w:bottom w:val="single" w:color="auto" w:sz="4" w:space="0"/>
              <w:right w:val="single" w:color="auto" w:sz="4" w:space="0"/>
            </w:tcBorders>
            <w:shd w:val="clear" w:color="auto" w:fill="auto"/>
            <w:vAlign w:val="center"/>
          </w:tcPr>
          <w:p w14:paraId="29CB5142">
            <w:pPr>
              <w:spacing w:line="360"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rPr>
              <w:t>评委根据投标人所提供的确保原材的品质的来源方案进行评审，施工材料进场安排的合理性，施工材料来源的合法性，具有原材料检测方案的得</w:t>
            </w:r>
            <w:r>
              <w:rPr>
                <w:rFonts w:hint="eastAsia" w:ascii="宋体" w:hAnsi="宋体" w:cs="宋体"/>
                <w:sz w:val="24"/>
                <w:szCs w:val="24"/>
                <w:lang w:val="en-US" w:eastAsia="zh-CN"/>
              </w:rPr>
              <w:t>6</w:t>
            </w:r>
            <w:r>
              <w:rPr>
                <w:rFonts w:hint="eastAsia" w:ascii="宋体" w:hAnsi="宋体" w:eastAsia="宋体" w:cs="宋体"/>
                <w:sz w:val="24"/>
                <w:szCs w:val="24"/>
              </w:rPr>
              <w:t>分，施工材料进场安排的合理性，施工材料来源的合法性确保施工材料较优质的得</w:t>
            </w:r>
            <w:r>
              <w:rPr>
                <w:rFonts w:hint="eastAsia" w:ascii="宋体" w:hAnsi="宋体" w:cs="宋体"/>
                <w:sz w:val="24"/>
                <w:szCs w:val="24"/>
                <w:lang w:val="en-US" w:eastAsia="zh-CN"/>
              </w:rPr>
              <w:t>5.9</w:t>
            </w:r>
            <w:r>
              <w:rPr>
                <w:rFonts w:hint="eastAsia" w:ascii="宋体" w:hAnsi="宋体" w:eastAsia="宋体" w:cs="宋体"/>
                <w:sz w:val="24"/>
                <w:szCs w:val="24"/>
              </w:rPr>
              <w:t>分，其余得分</w:t>
            </w:r>
            <w:r>
              <w:rPr>
                <w:rFonts w:hint="eastAsia" w:ascii="宋体" w:hAnsi="宋体" w:cs="宋体"/>
                <w:sz w:val="24"/>
                <w:szCs w:val="24"/>
                <w:lang w:val="en-US" w:eastAsia="zh-CN"/>
              </w:rPr>
              <w:t>5.8</w:t>
            </w:r>
            <w:r>
              <w:rPr>
                <w:rFonts w:hint="eastAsia" w:ascii="宋体" w:hAnsi="宋体" w:eastAsia="宋体" w:cs="宋体"/>
                <w:sz w:val="24"/>
                <w:szCs w:val="24"/>
              </w:rPr>
              <w:t>分，未提及的或与本项无关的不得分。</w:t>
            </w:r>
          </w:p>
        </w:tc>
      </w:tr>
      <w:tr w14:paraId="26ED8CEC">
        <w:tblPrEx>
          <w:tblCellMar>
            <w:top w:w="0" w:type="dxa"/>
            <w:left w:w="0" w:type="dxa"/>
            <w:bottom w:w="0" w:type="dxa"/>
            <w:right w:w="0" w:type="dxa"/>
          </w:tblCellMar>
        </w:tblPrEx>
        <w:trPr>
          <w:jc w:val="center"/>
        </w:trPr>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230F85E2">
            <w:pPr>
              <w:pStyle w:val="19"/>
              <w:spacing w:before="0" w:beforeAutospacing="0" w:after="0" w:afterAutospacing="0" w:line="360" w:lineRule="auto"/>
              <w:jc w:val="center"/>
              <w:rPr>
                <w:rFonts w:hint="eastAsia" w:ascii="宋体" w:hAnsi="宋体" w:eastAsia="宋体" w:cs="宋体"/>
                <w:sz w:val="24"/>
                <w:szCs w:val="24"/>
              </w:rPr>
            </w:pPr>
            <w:r>
              <w:rPr>
                <w:rFonts w:hint="eastAsia" w:ascii="宋体" w:hAnsi="宋体" w:eastAsia="宋体" w:cs="宋体"/>
                <w:color w:val="auto"/>
                <w:sz w:val="24"/>
                <w:szCs w:val="24"/>
              </w:rPr>
              <w:t>管理制度</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0669E260">
            <w:pPr>
              <w:pStyle w:val="19"/>
              <w:spacing w:before="0" w:beforeAutospacing="0" w:after="0" w:afterAutospacing="0" w:line="360" w:lineRule="auto"/>
              <w:jc w:val="center"/>
              <w:rPr>
                <w:rFonts w:hint="eastAsia" w:ascii="宋体" w:hAnsi="宋体" w:eastAsia="宋体" w:cs="宋体"/>
                <w:sz w:val="24"/>
                <w:szCs w:val="24"/>
              </w:rPr>
            </w:pPr>
            <w:r>
              <w:rPr>
                <w:rFonts w:hint="eastAsia" w:cs="宋体"/>
                <w:color w:val="auto"/>
                <w:sz w:val="24"/>
                <w:szCs w:val="24"/>
                <w:lang w:val="en-US" w:eastAsia="zh-CN"/>
              </w:rPr>
              <w:t>6</w:t>
            </w:r>
          </w:p>
        </w:tc>
        <w:tc>
          <w:tcPr>
            <w:tcW w:w="7764" w:type="dxa"/>
            <w:tcBorders>
              <w:top w:val="single" w:color="auto" w:sz="4" w:space="0"/>
              <w:left w:val="single" w:color="auto" w:sz="4" w:space="0"/>
              <w:bottom w:val="single" w:color="auto" w:sz="4" w:space="0"/>
              <w:right w:val="single" w:color="auto" w:sz="4" w:space="0"/>
            </w:tcBorders>
            <w:shd w:val="clear" w:color="auto" w:fill="auto"/>
            <w:vAlign w:val="center"/>
          </w:tcPr>
          <w:p w14:paraId="431D2DEC">
            <w:pPr>
              <w:pStyle w:val="19"/>
              <w:spacing w:before="0" w:beforeAutospacing="0" w:after="0" w:afterAutospacing="0" w:line="360" w:lineRule="auto"/>
              <w:jc w:val="left"/>
              <w:rPr>
                <w:rFonts w:hint="eastAsia" w:ascii="宋体" w:hAnsi="宋体" w:eastAsia="宋体" w:cs="宋体"/>
                <w:sz w:val="24"/>
                <w:szCs w:val="24"/>
              </w:rPr>
            </w:pPr>
            <w:r>
              <w:rPr>
                <w:rFonts w:hint="eastAsia" w:ascii="宋体" w:hAnsi="宋体" w:eastAsia="宋体" w:cs="宋体"/>
                <w:color w:val="auto"/>
                <w:sz w:val="24"/>
                <w:szCs w:val="24"/>
              </w:rPr>
              <w:t>根据投标人针对本项目提供管理制度，包括但不限于：①巡查制度；②交接班制度；③工具管理制度；④机房管理制度等，由评标委员会进行评分：方案包含的要点齐全无缺漏项、内容与要点相符、每个要点均有展开详细的阐述且能够适用于本项目得</w:t>
            </w:r>
            <w:r>
              <w:rPr>
                <w:rFonts w:hint="eastAsia" w:cs="宋体"/>
                <w:color w:val="auto"/>
                <w:sz w:val="24"/>
                <w:szCs w:val="24"/>
                <w:lang w:val="en-US" w:eastAsia="zh-CN"/>
              </w:rPr>
              <w:t>6</w:t>
            </w:r>
            <w:r>
              <w:rPr>
                <w:rFonts w:hint="eastAsia" w:ascii="宋体" w:hAnsi="宋体" w:eastAsia="宋体" w:cs="宋体"/>
                <w:color w:val="auto"/>
                <w:sz w:val="24"/>
                <w:szCs w:val="24"/>
              </w:rPr>
              <w:t>分；方案所包含的要点齐全、内容与要点相符、每个要点均有展开阐述且基本能够适用于本项目的得</w:t>
            </w:r>
            <w:r>
              <w:rPr>
                <w:rFonts w:hint="eastAsia" w:cs="宋体"/>
                <w:color w:val="auto"/>
                <w:sz w:val="24"/>
                <w:szCs w:val="24"/>
                <w:lang w:val="en-US" w:eastAsia="zh-CN"/>
              </w:rPr>
              <w:t>5.9</w:t>
            </w:r>
            <w:r>
              <w:rPr>
                <w:rFonts w:hint="eastAsia" w:ascii="宋体" w:hAnsi="宋体" w:eastAsia="宋体" w:cs="宋体"/>
                <w:color w:val="auto"/>
                <w:sz w:val="24"/>
                <w:szCs w:val="24"/>
              </w:rPr>
              <w:t>分；方案所包含的要点有缺漏、内容与要点相符但仅有纲要、内容简略，未展开详细阐述但基本能够适用于本项目的得</w:t>
            </w:r>
            <w:r>
              <w:rPr>
                <w:rFonts w:hint="eastAsia" w:cs="宋体"/>
                <w:color w:val="auto"/>
                <w:sz w:val="24"/>
                <w:szCs w:val="24"/>
                <w:lang w:val="en-US" w:eastAsia="zh-CN"/>
              </w:rPr>
              <w:t>5.8</w:t>
            </w:r>
            <w:r>
              <w:rPr>
                <w:rFonts w:hint="eastAsia" w:ascii="宋体" w:hAnsi="宋体" w:eastAsia="宋体" w:cs="宋体"/>
                <w:color w:val="auto"/>
                <w:sz w:val="24"/>
                <w:szCs w:val="24"/>
              </w:rPr>
              <w:t>分；未提供或内容存在明显错误、内容明显不适用于本项目需求的均不得分。</w:t>
            </w:r>
          </w:p>
        </w:tc>
      </w:tr>
      <w:tr w14:paraId="4ECEDE43">
        <w:tblPrEx>
          <w:tblCellMar>
            <w:top w:w="0" w:type="dxa"/>
            <w:left w:w="0" w:type="dxa"/>
            <w:bottom w:w="0" w:type="dxa"/>
            <w:right w:w="0" w:type="dxa"/>
          </w:tblCellMar>
        </w:tblPrEx>
        <w:trPr>
          <w:jc w:val="center"/>
        </w:trPr>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315FA99F">
            <w:pPr>
              <w:pStyle w:val="19"/>
              <w:spacing w:before="0" w:beforeAutospacing="0" w:after="0" w:afterAutospacing="0" w:line="360" w:lineRule="auto"/>
              <w:jc w:val="center"/>
              <w:rPr>
                <w:rFonts w:hint="eastAsia" w:ascii="宋体" w:hAnsi="宋体" w:eastAsia="宋体" w:cs="宋体"/>
                <w:sz w:val="24"/>
                <w:szCs w:val="24"/>
              </w:rPr>
            </w:pPr>
            <w:r>
              <w:rPr>
                <w:rFonts w:hint="eastAsia" w:ascii="宋体" w:hAnsi="宋体" w:eastAsia="宋体" w:cs="宋体"/>
                <w:color w:val="auto"/>
                <w:sz w:val="24"/>
                <w:szCs w:val="24"/>
              </w:rPr>
              <w:t>应急维修服务方案</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4E46CC0F">
            <w:pPr>
              <w:pStyle w:val="19"/>
              <w:spacing w:before="0" w:beforeAutospacing="0" w:after="0" w:afterAutospacing="0" w:line="360" w:lineRule="auto"/>
              <w:jc w:val="center"/>
              <w:rPr>
                <w:rFonts w:hint="eastAsia" w:ascii="宋体" w:hAnsi="宋体" w:eastAsia="宋体" w:cs="宋体"/>
                <w:sz w:val="24"/>
                <w:szCs w:val="24"/>
              </w:rPr>
            </w:pPr>
            <w:r>
              <w:rPr>
                <w:rFonts w:hint="eastAsia" w:cs="宋体"/>
                <w:color w:val="auto"/>
                <w:sz w:val="24"/>
                <w:szCs w:val="24"/>
                <w:lang w:val="en-US" w:eastAsia="zh-CN"/>
              </w:rPr>
              <w:t>6</w:t>
            </w:r>
          </w:p>
        </w:tc>
        <w:tc>
          <w:tcPr>
            <w:tcW w:w="7764" w:type="dxa"/>
            <w:tcBorders>
              <w:top w:val="single" w:color="auto" w:sz="4" w:space="0"/>
              <w:left w:val="single" w:color="auto" w:sz="4" w:space="0"/>
              <w:bottom w:val="single" w:color="auto" w:sz="4" w:space="0"/>
              <w:right w:val="single" w:color="auto" w:sz="4" w:space="0"/>
            </w:tcBorders>
            <w:shd w:val="clear" w:color="auto" w:fill="auto"/>
            <w:vAlign w:val="center"/>
          </w:tcPr>
          <w:p w14:paraId="699CB95C">
            <w:pPr>
              <w:pStyle w:val="19"/>
              <w:spacing w:before="0" w:beforeAutospacing="0" w:after="0" w:afterAutospacing="0" w:line="360" w:lineRule="auto"/>
              <w:jc w:val="left"/>
              <w:rPr>
                <w:rFonts w:hint="eastAsia" w:ascii="宋体" w:hAnsi="宋体" w:eastAsia="宋体" w:cs="宋体"/>
                <w:sz w:val="24"/>
                <w:szCs w:val="24"/>
              </w:rPr>
            </w:pPr>
            <w:r>
              <w:rPr>
                <w:rFonts w:hint="eastAsia" w:ascii="宋体" w:hAnsi="宋体" w:eastAsia="宋体" w:cs="宋体"/>
                <w:color w:val="auto"/>
                <w:sz w:val="24"/>
                <w:szCs w:val="24"/>
              </w:rPr>
              <w:t>根据投标人针对本项目提供的应急维修服务和故障解决方案，包括但不限于：①应急维修服务保障措施；②应急维修服务响应方式；③抢修方案；④针对不同类型故障投标人承诺解决故障时间、故障解决的方式方法等；由评标委员会进行评分：方案包含的要点齐全无缺漏项、内容与要点相符、每个要点均有展开详细的阐述且能够适用于本项目得</w:t>
            </w:r>
            <w:r>
              <w:rPr>
                <w:rFonts w:hint="eastAsia" w:cs="宋体"/>
                <w:color w:val="auto"/>
                <w:sz w:val="24"/>
                <w:szCs w:val="24"/>
                <w:lang w:val="en-US" w:eastAsia="zh-CN"/>
              </w:rPr>
              <w:t>6</w:t>
            </w:r>
            <w:r>
              <w:rPr>
                <w:rFonts w:hint="eastAsia" w:ascii="宋体" w:hAnsi="宋体" w:eastAsia="宋体" w:cs="宋体"/>
                <w:color w:val="auto"/>
                <w:sz w:val="24"/>
                <w:szCs w:val="24"/>
              </w:rPr>
              <w:t>分；方案所包含的要点齐全、内容与要点相符、每个要点均有展开阐述且基本能够适用于本项目的得</w:t>
            </w:r>
            <w:r>
              <w:rPr>
                <w:rFonts w:hint="eastAsia" w:cs="宋体"/>
                <w:color w:val="auto"/>
                <w:sz w:val="24"/>
                <w:szCs w:val="24"/>
                <w:lang w:val="en-US" w:eastAsia="zh-CN"/>
              </w:rPr>
              <w:t>5.9</w:t>
            </w:r>
            <w:r>
              <w:rPr>
                <w:rFonts w:hint="eastAsia" w:ascii="宋体" w:hAnsi="宋体" w:eastAsia="宋体" w:cs="宋体"/>
                <w:color w:val="auto"/>
                <w:sz w:val="24"/>
                <w:szCs w:val="24"/>
              </w:rPr>
              <w:t>分；方案所包含的要点有缺漏、内容与要点相符但仅有纲要、内容简略，未展开详细阐述但基本能够适用于本项目的得</w:t>
            </w:r>
            <w:r>
              <w:rPr>
                <w:rFonts w:hint="eastAsia" w:cs="宋体"/>
                <w:color w:val="auto"/>
                <w:sz w:val="24"/>
                <w:szCs w:val="24"/>
                <w:lang w:val="en-US" w:eastAsia="zh-CN"/>
              </w:rPr>
              <w:t>5.8</w:t>
            </w:r>
            <w:r>
              <w:rPr>
                <w:rFonts w:hint="eastAsia" w:ascii="宋体" w:hAnsi="宋体" w:eastAsia="宋体" w:cs="宋体"/>
                <w:color w:val="auto"/>
                <w:sz w:val="24"/>
                <w:szCs w:val="24"/>
              </w:rPr>
              <w:t>分；未提供或内容存在明显错误、内容明显不适用于本项目需求的均不得分。</w:t>
            </w:r>
          </w:p>
        </w:tc>
      </w:tr>
      <w:tr w14:paraId="30B54549">
        <w:tblPrEx>
          <w:tblCellMar>
            <w:top w:w="0" w:type="dxa"/>
            <w:left w:w="0" w:type="dxa"/>
            <w:bottom w:w="0" w:type="dxa"/>
            <w:right w:w="0" w:type="dxa"/>
          </w:tblCellMar>
        </w:tblPrEx>
        <w:trPr>
          <w:jc w:val="center"/>
        </w:trPr>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08C4F47B">
            <w:pPr>
              <w:pStyle w:val="123"/>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施工质量管理体系及保证质量的措施</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04979A21">
            <w:pPr>
              <w:pStyle w:val="123"/>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6</w:t>
            </w:r>
          </w:p>
        </w:tc>
        <w:tc>
          <w:tcPr>
            <w:tcW w:w="7764" w:type="dxa"/>
            <w:tcBorders>
              <w:top w:val="single" w:color="auto" w:sz="4" w:space="0"/>
              <w:left w:val="single" w:color="auto" w:sz="4" w:space="0"/>
              <w:bottom w:val="single" w:color="auto" w:sz="4" w:space="0"/>
              <w:right w:val="single" w:color="auto" w:sz="4" w:space="0"/>
            </w:tcBorders>
            <w:shd w:val="clear" w:color="auto" w:fill="auto"/>
            <w:vAlign w:val="center"/>
          </w:tcPr>
          <w:p w14:paraId="16C361D5">
            <w:pPr>
              <w:pStyle w:val="123"/>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根据供应商所提供的施工质量管理体系及保证质量的措施（包括但不限于质量目标、质量管理组织机构及主要职责、质量管理体系、质量管理的保证措施等内容），由磋商小组进行评分：提供的方案包含的要点齐全无缺漏项、内容与要点相符、每个要点均有展开详细的阐述且能够适用于本项目的得</w:t>
            </w:r>
            <w:r>
              <w:rPr>
                <w:rFonts w:hint="eastAsia" w:ascii="宋体" w:hAnsi="宋体" w:cs="宋体"/>
                <w:color w:val="auto"/>
                <w:kern w:val="0"/>
                <w:sz w:val="24"/>
                <w:szCs w:val="24"/>
                <w:lang w:val="en-US" w:eastAsia="zh-CN" w:bidi="ar-SA"/>
              </w:rPr>
              <w:t>6</w:t>
            </w:r>
            <w:r>
              <w:rPr>
                <w:rFonts w:hint="eastAsia" w:ascii="宋体" w:hAnsi="宋体" w:eastAsia="宋体" w:cs="宋体"/>
                <w:color w:val="auto"/>
                <w:kern w:val="0"/>
                <w:sz w:val="24"/>
                <w:szCs w:val="24"/>
                <w:lang w:val="en-US" w:eastAsia="zh-CN" w:bidi="ar-SA"/>
              </w:rPr>
              <w:t>分；方案所包含的要点齐全、内容与要点相符、每个要点均有展开阐述（没有特别具体）但基本能够适用于本项目的得</w:t>
            </w:r>
            <w:r>
              <w:rPr>
                <w:rFonts w:hint="eastAsia" w:ascii="宋体" w:hAnsi="宋体" w:cs="宋体"/>
                <w:color w:val="auto"/>
                <w:kern w:val="0"/>
                <w:sz w:val="24"/>
                <w:szCs w:val="24"/>
                <w:lang w:val="en-US" w:eastAsia="zh-CN" w:bidi="ar-SA"/>
              </w:rPr>
              <w:t>5.9</w:t>
            </w:r>
            <w:r>
              <w:rPr>
                <w:rFonts w:hint="eastAsia" w:ascii="宋体" w:hAnsi="宋体" w:eastAsia="宋体" w:cs="宋体"/>
                <w:color w:val="auto"/>
                <w:kern w:val="0"/>
                <w:sz w:val="24"/>
                <w:szCs w:val="24"/>
                <w:lang w:val="en-US" w:eastAsia="zh-CN" w:bidi="ar-SA"/>
              </w:rPr>
              <w:t>分；方案所包含的要点齐全、内容与要点相符但仅有纲要、内容简略，未展开详细阐述但基本能够适用于本项目的得</w:t>
            </w:r>
            <w:r>
              <w:rPr>
                <w:rFonts w:hint="eastAsia" w:ascii="宋体" w:hAnsi="宋体" w:cs="宋体"/>
                <w:color w:val="auto"/>
                <w:kern w:val="0"/>
                <w:sz w:val="24"/>
                <w:szCs w:val="24"/>
                <w:lang w:val="en-US" w:eastAsia="zh-CN" w:bidi="ar-SA"/>
              </w:rPr>
              <w:t>5.8</w:t>
            </w:r>
            <w:r>
              <w:rPr>
                <w:rFonts w:hint="eastAsia" w:ascii="宋体" w:hAnsi="宋体" w:eastAsia="宋体" w:cs="宋体"/>
                <w:color w:val="auto"/>
                <w:kern w:val="0"/>
                <w:sz w:val="24"/>
                <w:szCs w:val="24"/>
                <w:lang w:val="en-US" w:eastAsia="zh-CN" w:bidi="ar-SA"/>
              </w:rPr>
              <w:t>分；未提供或内容存在明显错误、内容明显不适用于本项目需求的均不得分。</w:t>
            </w:r>
          </w:p>
        </w:tc>
      </w:tr>
      <w:tr w14:paraId="6E751AA5">
        <w:tblPrEx>
          <w:tblCellMar>
            <w:top w:w="0" w:type="dxa"/>
            <w:left w:w="0" w:type="dxa"/>
            <w:bottom w:w="0" w:type="dxa"/>
            <w:right w:w="0" w:type="dxa"/>
          </w:tblCellMar>
        </w:tblPrEx>
        <w:trPr>
          <w:trHeight w:val="1885" w:hRule="atLeast"/>
          <w:jc w:val="center"/>
        </w:trPr>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20F0C27E">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项目负责人</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04C6610F">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3</w:t>
            </w:r>
          </w:p>
        </w:tc>
        <w:tc>
          <w:tcPr>
            <w:tcW w:w="7764" w:type="dxa"/>
            <w:tcBorders>
              <w:top w:val="single" w:color="auto" w:sz="4" w:space="0"/>
              <w:left w:val="single" w:color="auto" w:sz="4" w:space="0"/>
              <w:bottom w:val="single" w:color="auto" w:sz="4" w:space="0"/>
              <w:right w:val="single" w:color="auto" w:sz="4" w:space="0"/>
            </w:tcBorders>
            <w:shd w:val="clear" w:color="auto" w:fill="auto"/>
            <w:vAlign w:val="center"/>
          </w:tcPr>
          <w:p w14:paraId="78D21C96">
            <w:pPr>
              <w:spacing w:line="360" w:lineRule="auto"/>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投标人拟派出本项目的项目负责人具有注册建造师二级及以上（建筑工程专业）证书并持有有效合格的安全生产考核合格证B证的得</w:t>
            </w:r>
            <w:r>
              <w:rPr>
                <w:rFonts w:hint="eastAsia" w:ascii="宋体" w:hAnsi="宋体" w:cs="宋体"/>
                <w:color w:val="auto"/>
                <w:kern w:val="0"/>
                <w:sz w:val="24"/>
                <w:szCs w:val="24"/>
                <w:lang w:val="en-US" w:eastAsia="zh-CN" w:bidi="ar-SA"/>
              </w:rPr>
              <w:t>3</w:t>
            </w:r>
            <w:r>
              <w:rPr>
                <w:rFonts w:hint="eastAsia" w:ascii="宋体" w:hAnsi="宋体" w:eastAsia="宋体" w:cs="宋体"/>
                <w:color w:val="auto"/>
                <w:kern w:val="0"/>
                <w:sz w:val="24"/>
                <w:szCs w:val="24"/>
                <w:lang w:val="en-US" w:eastAsia="zh-CN" w:bidi="ar-SA"/>
              </w:rPr>
              <w:t>分，项目负责人应为投标单位的人员，以注册建造师证书上的注册单位为准，需提供证书复印件，否则不得分。</w:t>
            </w:r>
          </w:p>
        </w:tc>
      </w:tr>
      <w:tr w14:paraId="3A2BB943">
        <w:tblPrEx>
          <w:tblCellMar>
            <w:top w:w="0" w:type="dxa"/>
            <w:left w:w="0" w:type="dxa"/>
            <w:bottom w:w="0" w:type="dxa"/>
            <w:right w:w="0" w:type="dxa"/>
          </w:tblCellMar>
        </w:tblPrEx>
        <w:trPr>
          <w:trHeight w:val="1885" w:hRule="atLeast"/>
          <w:jc w:val="center"/>
        </w:trPr>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2547175A">
            <w:pPr>
              <w:pStyle w:val="123"/>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工程维保期</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7651AC65">
            <w:pPr>
              <w:pStyle w:val="123"/>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4</w:t>
            </w:r>
          </w:p>
        </w:tc>
        <w:tc>
          <w:tcPr>
            <w:tcW w:w="7764" w:type="dxa"/>
            <w:tcBorders>
              <w:top w:val="single" w:color="auto" w:sz="4" w:space="0"/>
              <w:left w:val="single" w:color="auto" w:sz="4" w:space="0"/>
              <w:bottom w:val="single" w:color="auto" w:sz="4" w:space="0"/>
              <w:right w:val="single" w:color="auto" w:sz="4" w:space="0"/>
            </w:tcBorders>
            <w:shd w:val="clear" w:color="auto" w:fill="auto"/>
            <w:vAlign w:val="center"/>
          </w:tcPr>
          <w:p w14:paraId="625B455D">
            <w:pPr>
              <w:pStyle w:val="123"/>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供应商在满足本项目施工范围内所有设备设施免费质量保修期的基础上，承诺延长6个月（含）至12个月（不含）的得</w:t>
            </w:r>
            <w:r>
              <w:rPr>
                <w:rFonts w:hint="eastAsia" w:ascii="宋体" w:hAnsi="宋体" w:cs="宋体"/>
                <w:color w:val="auto"/>
                <w:kern w:val="0"/>
                <w:sz w:val="24"/>
                <w:szCs w:val="24"/>
                <w:lang w:val="en-US" w:eastAsia="zh-CN" w:bidi="ar-SA"/>
              </w:rPr>
              <w:t>2</w:t>
            </w:r>
            <w:r>
              <w:rPr>
                <w:rFonts w:hint="eastAsia" w:ascii="宋体" w:hAnsi="宋体" w:eastAsia="宋体" w:cs="宋体"/>
                <w:color w:val="auto"/>
                <w:kern w:val="0"/>
                <w:sz w:val="24"/>
                <w:szCs w:val="24"/>
                <w:lang w:val="en-US" w:eastAsia="zh-CN" w:bidi="ar-SA"/>
              </w:rPr>
              <w:t>分；承诺延长12个月（含）以上的得</w:t>
            </w:r>
            <w:r>
              <w:rPr>
                <w:rFonts w:hint="eastAsia" w:ascii="宋体" w:hAnsi="宋体" w:cs="宋体"/>
                <w:color w:val="auto"/>
                <w:kern w:val="0"/>
                <w:sz w:val="24"/>
                <w:szCs w:val="24"/>
                <w:lang w:val="en-US" w:eastAsia="zh-CN" w:bidi="ar-SA"/>
              </w:rPr>
              <w:t>4</w:t>
            </w:r>
            <w:r>
              <w:rPr>
                <w:rFonts w:hint="eastAsia" w:ascii="宋体" w:hAnsi="宋体" w:eastAsia="宋体" w:cs="宋体"/>
                <w:color w:val="auto"/>
                <w:kern w:val="0"/>
                <w:sz w:val="24"/>
                <w:szCs w:val="24"/>
                <w:lang w:val="en-US" w:eastAsia="zh-CN" w:bidi="ar-SA"/>
              </w:rPr>
              <w:t>分；【须提供承诺函，承诺函格式自拟，否则不得分】</w:t>
            </w:r>
          </w:p>
        </w:tc>
      </w:tr>
      <w:tr w14:paraId="726C1496">
        <w:tblPrEx>
          <w:tblCellMar>
            <w:top w:w="0" w:type="dxa"/>
            <w:left w:w="0" w:type="dxa"/>
            <w:bottom w:w="0" w:type="dxa"/>
            <w:right w:w="0" w:type="dxa"/>
          </w:tblCellMar>
        </w:tblPrEx>
        <w:trPr>
          <w:trHeight w:val="1885" w:hRule="atLeast"/>
          <w:jc w:val="center"/>
        </w:trPr>
        <w:tc>
          <w:tcPr>
            <w:tcW w:w="972" w:type="dxa"/>
            <w:tcBorders>
              <w:top w:val="single" w:color="auto" w:sz="4" w:space="0"/>
              <w:left w:val="single" w:color="auto" w:sz="4" w:space="0"/>
              <w:bottom w:val="single" w:color="auto" w:sz="4" w:space="0"/>
              <w:right w:val="single" w:color="auto" w:sz="4" w:space="0"/>
            </w:tcBorders>
            <w:shd w:val="clear" w:color="auto" w:fill="auto"/>
            <w:vAlign w:val="top"/>
          </w:tcPr>
          <w:p w14:paraId="25A478F6">
            <w:pPr>
              <w:pStyle w:val="123"/>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响应速度等情况</w:t>
            </w:r>
          </w:p>
        </w:tc>
        <w:tc>
          <w:tcPr>
            <w:tcW w:w="540" w:type="dxa"/>
            <w:tcBorders>
              <w:top w:val="single" w:color="auto" w:sz="4" w:space="0"/>
              <w:left w:val="single" w:color="auto" w:sz="4" w:space="0"/>
              <w:bottom w:val="single" w:color="auto" w:sz="4" w:space="0"/>
              <w:right w:val="single" w:color="auto" w:sz="4" w:space="0"/>
            </w:tcBorders>
            <w:shd w:val="clear" w:color="auto" w:fill="auto"/>
            <w:vAlign w:val="top"/>
          </w:tcPr>
          <w:p w14:paraId="2FC42F34">
            <w:pPr>
              <w:pStyle w:val="123"/>
              <w:jc w:val="center"/>
              <w:rPr>
                <w:rFonts w:hint="default"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4</w:t>
            </w:r>
          </w:p>
        </w:tc>
        <w:tc>
          <w:tcPr>
            <w:tcW w:w="7764" w:type="dxa"/>
            <w:tcBorders>
              <w:top w:val="single" w:color="auto" w:sz="4" w:space="0"/>
              <w:left w:val="single" w:color="auto" w:sz="4" w:space="0"/>
              <w:bottom w:val="single" w:color="auto" w:sz="4" w:space="0"/>
              <w:right w:val="single" w:color="auto" w:sz="4" w:space="0"/>
            </w:tcBorders>
            <w:shd w:val="clear" w:color="auto" w:fill="auto"/>
            <w:vAlign w:val="center"/>
          </w:tcPr>
          <w:p w14:paraId="1ED149E4">
            <w:pPr>
              <w:pStyle w:val="123"/>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根据各供应商提供的售后服务响应的速度（故障响应时间）以及能力由磋商小组进行评分：承诺0.5小时（含）以内响应、2小时（含）以内上门维护的得</w:t>
            </w:r>
            <w:r>
              <w:rPr>
                <w:rFonts w:hint="eastAsia" w:ascii="宋体" w:hAnsi="宋体" w:cs="宋体"/>
                <w:color w:val="auto"/>
                <w:kern w:val="0"/>
                <w:sz w:val="24"/>
                <w:szCs w:val="24"/>
                <w:lang w:val="en-US" w:eastAsia="zh-CN" w:bidi="ar-SA"/>
              </w:rPr>
              <w:t>4</w:t>
            </w:r>
            <w:r>
              <w:rPr>
                <w:rFonts w:hint="eastAsia" w:ascii="宋体" w:hAnsi="宋体" w:eastAsia="宋体" w:cs="宋体"/>
                <w:color w:val="auto"/>
                <w:kern w:val="0"/>
                <w:sz w:val="24"/>
                <w:szCs w:val="24"/>
                <w:lang w:val="en-US" w:eastAsia="zh-CN" w:bidi="ar-SA"/>
              </w:rPr>
              <w:t>分；0.5小时（含）以内响应，4小时（含）以内上门维护的得</w:t>
            </w:r>
            <w:r>
              <w:rPr>
                <w:rFonts w:hint="eastAsia" w:ascii="宋体" w:hAnsi="宋体" w:cs="宋体"/>
                <w:color w:val="auto"/>
                <w:kern w:val="0"/>
                <w:sz w:val="24"/>
                <w:szCs w:val="24"/>
                <w:lang w:val="en-US" w:eastAsia="zh-CN" w:bidi="ar-SA"/>
              </w:rPr>
              <w:t>2</w:t>
            </w:r>
            <w:r>
              <w:rPr>
                <w:rFonts w:hint="eastAsia" w:ascii="宋体" w:hAnsi="宋体" w:eastAsia="宋体" w:cs="宋体"/>
                <w:color w:val="auto"/>
                <w:kern w:val="0"/>
                <w:sz w:val="24"/>
                <w:szCs w:val="24"/>
                <w:lang w:val="en-US" w:eastAsia="zh-CN" w:bidi="ar-SA"/>
              </w:rPr>
              <w:t>分；其余情况不得分。【须提供承诺函，承诺函格式自拟，否则不得分】</w:t>
            </w:r>
          </w:p>
        </w:tc>
      </w:tr>
    </w:tbl>
    <w:p w14:paraId="1FC5F51B">
      <w:pPr>
        <w:pStyle w:val="19"/>
        <w:spacing w:before="0" w:beforeAutospacing="0" w:after="0" w:afterAutospacing="0" w:line="360"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③商务项（F3×A3）满分为</w:t>
      </w:r>
      <w:r>
        <w:rPr>
          <w:rFonts w:hint="eastAsia" w:cs="宋体"/>
          <w:color w:val="auto"/>
          <w:sz w:val="24"/>
          <w:szCs w:val="24"/>
          <w:lang w:val="en-US" w:eastAsia="zh-CN"/>
        </w:rPr>
        <w:t>20</w:t>
      </w:r>
      <w:r>
        <w:rPr>
          <w:rFonts w:hint="eastAsia" w:ascii="宋体" w:hAnsi="宋体" w:eastAsia="宋体" w:cs="宋体"/>
          <w:color w:val="auto"/>
          <w:sz w:val="24"/>
          <w:szCs w:val="24"/>
        </w:rPr>
        <w:t>.00分</w:t>
      </w:r>
    </w:p>
    <w:tbl>
      <w:tblPr>
        <w:tblStyle w:val="24"/>
        <w:tblW w:w="9079" w:type="dxa"/>
        <w:jc w:val="center"/>
        <w:tblLayout w:type="autofit"/>
        <w:tblCellMar>
          <w:top w:w="0" w:type="dxa"/>
          <w:left w:w="0" w:type="dxa"/>
          <w:bottom w:w="0" w:type="dxa"/>
          <w:right w:w="0" w:type="dxa"/>
        </w:tblCellMar>
      </w:tblPr>
      <w:tblGrid>
        <w:gridCol w:w="1798"/>
        <w:gridCol w:w="727"/>
        <w:gridCol w:w="6554"/>
      </w:tblGrid>
      <w:tr w14:paraId="09140266">
        <w:tblPrEx>
          <w:tblCellMar>
            <w:top w:w="0" w:type="dxa"/>
            <w:left w:w="0" w:type="dxa"/>
            <w:bottom w:w="0" w:type="dxa"/>
            <w:right w:w="0" w:type="dxa"/>
          </w:tblCellMar>
        </w:tblPrEx>
        <w:trPr>
          <w:jc w:val="center"/>
        </w:trPr>
        <w:tc>
          <w:tcPr>
            <w:tcW w:w="179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72DAAC5">
            <w:pPr>
              <w:pStyle w:val="19"/>
              <w:spacing w:before="0" w:beforeAutospacing="0" w:after="0" w:afterAutospacing="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72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1E5DCB66">
            <w:pPr>
              <w:pStyle w:val="19"/>
              <w:spacing w:before="0" w:beforeAutospacing="0" w:after="0" w:afterAutospacing="0"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6554" w:type="dxa"/>
            <w:tcBorders>
              <w:top w:val="single" w:color="auto" w:sz="8" w:space="0"/>
              <w:left w:val="nil"/>
              <w:bottom w:val="single" w:color="auto" w:sz="8" w:space="0"/>
              <w:right w:val="single" w:color="auto" w:sz="8" w:space="0"/>
            </w:tcBorders>
            <w:shd w:val="clear" w:color="auto" w:fill="auto"/>
            <w:tcMar>
              <w:left w:w="108" w:type="dxa"/>
              <w:right w:w="108" w:type="dxa"/>
            </w:tcMar>
          </w:tcPr>
          <w:p w14:paraId="4CC6A343">
            <w:pPr>
              <w:pStyle w:val="19"/>
              <w:spacing w:before="0" w:beforeAutospacing="0" w:after="0" w:afterAutospacing="0" w:line="360" w:lineRule="auto"/>
              <w:jc w:val="both"/>
              <w:rPr>
                <w:rFonts w:hint="eastAsia" w:ascii="宋体" w:hAnsi="宋体" w:eastAsia="宋体" w:cs="宋体"/>
                <w:color w:val="auto"/>
                <w:sz w:val="24"/>
                <w:szCs w:val="24"/>
              </w:rPr>
            </w:pPr>
            <w:r>
              <w:rPr>
                <w:rFonts w:hint="eastAsia" w:ascii="宋体" w:hAnsi="宋体" w:eastAsia="宋体" w:cs="宋体"/>
                <w:color w:val="auto"/>
                <w:sz w:val="24"/>
                <w:szCs w:val="24"/>
              </w:rPr>
              <w:t>描述</w:t>
            </w:r>
          </w:p>
        </w:tc>
      </w:tr>
      <w:tr w14:paraId="490679CD">
        <w:tblPrEx>
          <w:tblCellMar>
            <w:top w:w="0" w:type="dxa"/>
            <w:left w:w="0" w:type="dxa"/>
            <w:bottom w:w="0" w:type="dxa"/>
            <w:right w:w="0" w:type="dxa"/>
          </w:tblCellMar>
        </w:tblPrEx>
        <w:trPr>
          <w:jc w:val="center"/>
        </w:trPr>
        <w:tc>
          <w:tcPr>
            <w:tcW w:w="179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23F3D3B">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工程专业承包</w:t>
            </w:r>
          </w:p>
        </w:tc>
        <w:tc>
          <w:tcPr>
            <w:tcW w:w="727" w:type="dxa"/>
            <w:tcBorders>
              <w:top w:val="nil"/>
              <w:left w:val="nil"/>
              <w:bottom w:val="single" w:color="auto" w:sz="8" w:space="0"/>
              <w:right w:val="single" w:color="auto" w:sz="8" w:space="0"/>
            </w:tcBorders>
            <w:shd w:val="clear" w:color="auto" w:fill="auto"/>
            <w:tcMar>
              <w:left w:w="108" w:type="dxa"/>
              <w:right w:w="108" w:type="dxa"/>
            </w:tcMar>
            <w:vAlign w:val="center"/>
          </w:tcPr>
          <w:p w14:paraId="614A5A02">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p>
        </w:tc>
        <w:tc>
          <w:tcPr>
            <w:tcW w:w="6554" w:type="dxa"/>
            <w:tcBorders>
              <w:top w:val="nil"/>
              <w:left w:val="nil"/>
              <w:bottom w:val="single" w:color="auto" w:sz="8" w:space="0"/>
              <w:right w:val="single" w:color="auto" w:sz="8" w:space="0"/>
            </w:tcBorders>
            <w:shd w:val="clear" w:color="auto" w:fill="auto"/>
            <w:tcMar>
              <w:left w:w="108" w:type="dxa"/>
              <w:right w:w="108" w:type="dxa"/>
            </w:tcMar>
            <w:vAlign w:val="center"/>
          </w:tcPr>
          <w:p w14:paraId="6E1916AD">
            <w:pPr>
              <w:spacing w:line="360" w:lineRule="auto"/>
              <w:jc w:val="both"/>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投标人具有有效的工程专业承包二级及以上资质得</w:t>
            </w: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分，需提供证书复印件并加盖投标人公章，否则不得分。</w:t>
            </w:r>
          </w:p>
        </w:tc>
      </w:tr>
      <w:tr w14:paraId="3F7C83F0">
        <w:tblPrEx>
          <w:tblCellMar>
            <w:top w:w="0" w:type="dxa"/>
            <w:left w:w="0" w:type="dxa"/>
            <w:bottom w:w="0" w:type="dxa"/>
            <w:right w:w="0" w:type="dxa"/>
          </w:tblCellMar>
        </w:tblPrEx>
        <w:trPr>
          <w:jc w:val="center"/>
        </w:trPr>
        <w:tc>
          <w:tcPr>
            <w:tcW w:w="1798"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22A97512">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机械设备</w:t>
            </w:r>
          </w:p>
        </w:tc>
        <w:tc>
          <w:tcPr>
            <w:tcW w:w="727" w:type="dxa"/>
            <w:tcBorders>
              <w:top w:val="nil"/>
              <w:left w:val="nil"/>
              <w:bottom w:val="single" w:color="auto" w:sz="8" w:space="0"/>
              <w:right w:val="single" w:color="auto" w:sz="8" w:space="0"/>
            </w:tcBorders>
            <w:shd w:val="clear" w:color="auto" w:fill="auto"/>
            <w:tcMar>
              <w:left w:w="108" w:type="dxa"/>
              <w:right w:w="108" w:type="dxa"/>
            </w:tcMar>
            <w:vAlign w:val="top"/>
          </w:tcPr>
          <w:p w14:paraId="54B70692">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p>
        </w:tc>
        <w:tc>
          <w:tcPr>
            <w:tcW w:w="6554" w:type="dxa"/>
            <w:tcBorders>
              <w:top w:val="nil"/>
              <w:left w:val="nil"/>
              <w:bottom w:val="single" w:color="auto" w:sz="8" w:space="0"/>
              <w:right w:val="single" w:color="auto" w:sz="8" w:space="0"/>
            </w:tcBorders>
            <w:shd w:val="clear" w:color="auto" w:fill="auto"/>
            <w:tcMar>
              <w:left w:w="108" w:type="dxa"/>
              <w:right w:w="108" w:type="dxa"/>
            </w:tcMar>
            <w:vAlign w:val="top"/>
          </w:tcPr>
          <w:p w14:paraId="26CE1647">
            <w:pPr>
              <w:spacing w:line="360" w:lineRule="auto"/>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根据</w:t>
            </w:r>
            <w:r>
              <w:rPr>
                <w:rFonts w:hint="eastAsia" w:ascii="宋体" w:hAnsi="宋体"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为本项目配备自卸车的数量情况，每提供1辆自卸车得</w:t>
            </w:r>
            <w:r>
              <w:rPr>
                <w:rFonts w:hint="eastAsia" w:ascii="宋体" w:hAnsi="宋体" w:cs="宋体"/>
                <w:color w:val="auto"/>
                <w:kern w:val="0"/>
                <w:sz w:val="24"/>
                <w:szCs w:val="24"/>
                <w:lang w:val="en-US" w:eastAsia="zh-CN" w:bidi="ar-SA"/>
              </w:rPr>
              <w:t>1.25</w:t>
            </w:r>
            <w:r>
              <w:rPr>
                <w:rFonts w:hint="eastAsia" w:ascii="宋体" w:hAnsi="宋体" w:eastAsia="宋体" w:cs="宋体"/>
                <w:color w:val="auto"/>
                <w:kern w:val="0"/>
                <w:sz w:val="24"/>
                <w:szCs w:val="24"/>
                <w:lang w:val="en-US" w:eastAsia="zh-CN" w:bidi="ar-SA"/>
              </w:rPr>
              <w:t>分，满分</w:t>
            </w: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分。注：</w:t>
            </w:r>
            <w:r>
              <w:rPr>
                <w:rFonts w:hint="eastAsia" w:ascii="宋体" w:hAnsi="宋体"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须提供自有或租赁设备的相关证明材料，如下：（1）</w:t>
            </w:r>
            <w:r>
              <w:rPr>
                <w:rFonts w:hint="eastAsia" w:ascii="宋体" w:hAnsi="宋体"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配备自卸车为自有设备，须提供购置合同和购置发票；（2）</w:t>
            </w:r>
            <w:r>
              <w:rPr>
                <w:rFonts w:hint="eastAsia" w:ascii="宋体" w:hAnsi="宋体"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配备自卸车为租赁设备，须提供租赁合同、设备出租方的购置发票以及租赁租金打款凭证发票并承诺设备履行至本项目合同履行完毕的专项承诺函。未提供或提供不齐全或提供资料不满足要求的不得分。</w:t>
            </w:r>
          </w:p>
        </w:tc>
      </w:tr>
      <w:tr w14:paraId="3AA59D87">
        <w:tblPrEx>
          <w:tblCellMar>
            <w:top w:w="0" w:type="dxa"/>
            <w:left w:w="0" w:type="dxa"/>
            <w:bottom w:w="0" w:type="dxa"/>
            <w:right w:w="0" w:type="dxa"/>
          </w:tblCellMar>
        </w:tblPrEx>
        <w:trPr>
          <w:jc w:val="center"/>
        </w:trPr>
        <w:tc>
          <w:tcPr>
            <w:tcW w:w="1798"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4A05F7C1">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人员配置情况</w:t>
            </w:r>
          </w:p>
        </w:tc>
        <w:tc>
          <w:tcPr>
            <w:tcW w:w="727" w:type="dxa"/>
            <w:tcBorders>
              <w:top w:val="nil"/>
              <w:left w:val="nil"/>
              <w:bottom w:val="single" w:color="auto" w:sz="8" w:space="0"/>
              <w:right w:val="single" w:color="auto" w:sz="8" w:space="0"/>
            </w:tcBorders>
            <w:shd w:val="clear" w:color="auto" w:fill="auto"/>
            <w:tcMar>
              <w:left w:w="108" w:type="dxa"/>
              <w:right w:w="108" w:type="dxa"/>
            </w:tcMar>
            <w:vAlign w:val="top"/>
          </w:tcPr>
          <w:p w14:paraId="6013F9FE">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p>
        </w:tc>
        <w:tc>
          <w:tcPr>
            <w:tcW w:w="6554" w:type="dxa"/>
            <w:tcBorders>
              <w:top w:val="nil"/>
              <w:left w:val="nil"/>
              <w:bottom w:val="single" w:color="auto" w:sz="8" w:space="0"/>
              <w:right w:val="single" w:color="auto" w:sz="8" w:space="0"/>
            </w:tcBorders>
            <w:shd w:val="clear" w:color="auto" w:fill="auto"/>
            <w:tcMar>
              <w:left w:w="108" w:type="dxa"/>
              <w:right w:w="108" w:type="dxa"/>
            </w:tcMar>
            <w:vAlign w:val="top"/>
          </w:tcPr>
          <w:p w14:paraId="3C8E4D10">
            <w:pPr>
              <w:spacing w:line="360" w:lineRule="auto"/>
              <w:jc w:val="left"/>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拟派的实施团队</w:t>
            </w:r>
            <w:r>
              <w:rPr>
                <w:rFonts w:hint="eastAsia" w:ascii="宋体" w:hAnsi="宋体" w:cs="宋体"/>
                <w:color w:val="auto"/>
                <w:kern w:val="0"/>
                <w:sz w:val="24"/>
                <w:szCs w:val="24"/>
                <w:lang w:val="en-US" w:eastAsia="zh-CN" w:bidi="ar-SA"/>
              </w:rPr>
              <w:t>人员</w:t>
            </w:r>
            <w:r>
              <w:rPr>
                <w:rFonts w:hint="eastAsia" w:ascii="宋体" w:hAnsi="宋体" w:eastAsia="宋体" w:cs="宋体"/>
                <w:color w:val="auto"/>
                <w:kern w:val="0"/>
                <w:sz w:val="24"/>
                <w:szCs w:val="24"/>
                <w:lang w:val="en-US" w:eastAsia="zh-CN" w:bidi="ar-SA"/>
              </w:rPr>
              <w:t>中</w:t>
            </w:r>
            <w:r>
              <w:rPr>
                <w:rFonts w:hint="eastAsia" w:ascii="宋体" w:hAnsi="宋体" w:cs="宋体"/>
                <w:color w:val="auto"/>
                <w:kern w:val="0"/>
                <w:sz w:val="24"/>
                <w:szCs w:val="24"/>
                <w:lang w:val="en-US" w:eastAsia="zh-CN" w:bidi="ar-SA"/>
              </w:rPr>
              <w:t>有</w:t>
            </w:r>
            <w:r>
              <w:rPr>
                <w:rFonts w:hint="eastAsia" w:ascii="宋体" w:hAnsi="宋体" w:eastAsia="宋体" w:cs="宋体"/>
                <w:color w:val="auto"/>
                <w:kern w:val="0"/>
                <w:sz w:val="24"/>
                <w:szCs w:val="24"/>
                <w:lang w:val="en-US" w:eastAsia="zh-CN" w:bidi="ar-SA"/>
              </w:rPr>
              <w:t>具备特种作业操作资格证（作业类别：焊接与热切割作业）及安全生产考核合格证书（C证）的得</w:t>
            </w: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分；本项满分</w:t>
            </w: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分。 注：须提供人员的有效身份证复印件、证书复印件及</w:t>
            </w:r>
            <w:r>
              <w:rPr>
                <w:rFonts w:hint="eastAsia" w:ascii="宋体" w:hAnsi="宋体" w:cs="宋体"/>
                <w:color w:val="auto"/>
                <w:kern w:val="0"/>
                <w:sz w:val="24"/>
                <w:szCs w:val="24"/>
                <w:lang w:val="en-US" w:eastAsia="zh-CN" w:bidi="ar-SA"/>
              </w:rPr>
              <w:t>投标人</w:t>
            </w:r>
            <w:r>
              <w:rPr>
                <w:rFonts w:hint="eastAsia" w:ascii="宋体" w:hAnsi="宋体" w:eastAsia="宋体" w:cs="宋体"/>
                <w:color w:val="auto"/>
                <w:kern w:val="0"/>
                <w:sz w:val="24"/>
                <w:szCs w:val="24"/>
                <w:lang w:val="en-US" w:eastAsia="zh-CN" w:bidi="ar-SA"/>
              </w:rPr>
              <w:t>为其缴纳的响应截止时间前六个月（不含响应截止时间的当月）中任一月份的社会养老保险凭据复印件，否则不得分。本评分项人员与其他评分项人员为同一个人的证书，不重复得分。</w:t>
            </w:r>
          </w:p>
        </w:tc>
      </w:tr>
      <w:tr w14:paraId="0059A5EC">
        <w:tblPrEx>
          <w:tblCellMar>
            <w:top w:w="0" w:type="dxa"/>
            <w:left w:w="0" w:type="dxa"/>
            <w:bottom w:w="0" w:type="dxa"/>
            <w:right w:w="0" w:type="dxa"/>
          </w:tblCellMar>
        </w:tblPrEx>
        <w:trPr>
          <w:jc w:val="center"/>
        </w:trPr>
        <w:tc>
          <w:tcPr>
            <w:tcW w:w="1798"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83348C3">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售后服务响应</w:t>
            </w:r>
          </w:p>
        </w:tc>
        <w:tc>
          <w:tcPr>
            <w:tcW w:w="727" w:type="dxa"/>
            <w:tcBorders>
              <w:top w:val="nil"/>
              <w:left w:val="nil"/>
              <w:bottom w:val="single" w:color="auto" w:sz="8" w:space="0"/>
              <w:right w:val="single" w:color="auto" w:sz="8" w:space="0"/>
            </w:tcBorders>
            <w:shd w:val="clear" w:color="auto" w:fill="auto"/>
            <w:tcMar>
              <w:left w:w="108" w:type="dxa"/>
              <w:right w:w="108" w:type="dxa"/>
            </w:tcMar>
            <w:vAlign w:val="center"/>
          </w:tcPr>
          <w:p w14:paraId="525337BF">
            <w:pPr>
              <w:spacing w:line="360" w:lineRule="auto"/>
              <w:jc w:val="center"/>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p>
        </w:tc>
        <w:tc>
          <w:tcPr>
            <w:tcW w:w="6554" w:type="dxa"/>
            <w:tcBorders>
              <w:top w:val="nil"/>
              <w:left w:val="nil"/>
              <w:bottom w:val="single" w:color="auto" w:sz="8" w:space="0"/>
              <w:right w:val="single" w:color="auto" w:sz="8" w:space="0"/>
            </w:tcBorders>
            <w:shd w:val="clear" w:color="auto" w:fill="auto"/>
            <w:tcMar>
              <w:left w:w="108" w:type="dxa"/>
              <w:right w:w="108" w:type="dxa"/>
            </w:tcMar>
            <w:vAlign w:val="center"/>
          </w:tcPr>
          <w:p w14:paraId="570A6DF4">
            <w:pPr>
              <w:spacing w:line="360" w:lineRule="auto"/>
              <w:textAlignment w:val="baseline"/>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投标人在福州市行政区域内设立有维保服务机构或分支机构的得</w:t>
            </w: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分，投标人在福建省（不含福州市）行政区域内设立有维保服务机构或分支机构的得</w:t>
            </w:r>
            <w:r>
              <w:rPr>
                <w:rFonts w:hint="eastAsia" w:ascii="宋体" w:hAnsi="宋体" w:cs="宋体"/>
                <w:color w:val="auto"/>
                <w:kern w:val="0"/>
                <w:sz w:val="24"/>
                <w:szCs w:val="24"/>
                <w:lang w:val="en-US" w:eastAsia="zh-CN" w:bidi="ar-SA"/>
              </w:rPr>
              <w:t>2</w:t>
            </w:r>
            <w:r>
              <w:rPr>
                <w:rFonts w:hint="eastAsia" w:ascii="宋体" w:hAnsi="宋体" w:eastAsia="宋体" w:cs="宋体"/>
                <w:color w:val="auto"/>
                <w:kern w:val="0"/>
                <w:sz w:val="24"/>
                <w:szCs w:val="24"/>
                <w:lang w:val="en-US" w:eastAsia="zh-CN" w:bidi="ar-SA"/>
              </w:rPr>
              <w:t>分，其余情况不得分，需提供营业执照复印件等有效证明。</w:t>
            </w:r>
          </w:p>
        </w:tc>
      </w:tr>
    </w:tbl>
    <w:p w14:paraId="72B613C6">
      <w:pPr>
        <w:pStyle w:val="19"/>
        <w:spacing w:before="0" w:beforeAutospacing="0" w:after="0" w:afterAutospacing="0" w:line="360" w:lineRule="auto"/>
        <w:ind w:left="150" w:right="150"/>
        <w:rPr>
          <w:rFonts w:hint="eastAsia" w:ascii="宋体" w:hAnsi="宋体" w:eastAsia="宋体" w:cs="宋体"/>
          <w:color w:val="auto"/>
          <w:sz w:val="24"/>
          <w:szCs w:val="24"/>
        </w:rPr>
      </w:pPr>
      <w:r>
        <w:rPr>
          <w:rFonts w:hint="eastAsia" w:ascii="宋体" w:hAnsi="宋体" w:eastAsia="宋体" w:cs="宋体"/>
          <w:color w:val="auto"/>
          <w:sz w:val="24"/>
          <w:szCs w:val="24"/>
          <w:shd w:val="clear" w:color="auto" w:fill="FFFFFF"/>
        </w:rPr>
        <w:t>四、成交候选投标人排列规则顺序和并列相同时的处理约定如下：</w:t>
      </w:r>
    </w:p>
    <w:p w14:paraId="3F4A1132">
      <w:pPr>
        <w:pStyle w:val="19"/>
        <w:spacing w:before="0" w:beforeAutospacing="0" w:after="0" w:afterAutospacing="0" w:line="360" w:lineRule="auto"/>
        <w:ind w:left="150" w:right="150"/>
        <w:rPr>
          <w:rFonts w:hint="eastAsia" w:ascii="宋体" w:hAnsi="宋体" w:eastAsia="宋体" w:cs="宋体"/>
          <w:color w:val="auto"/>
          <w:sz w:val="24"/>
          <w:szCs w:val="24"/>
        </w:rPr>
      </w:pPr>
      <w:r>
        <w:rPr>
          <w:rFonts w:hint="eastAsia" w:ascii="宋体" w:hAnsi="宋体" w:eastAsia="宋体" w:cs="宋体"/>
          <w:color w:val="auto"/>
          <w:sz w:val="24"/>
          <w:szCs w:val="24"/>
          <w:shd w:val="clear" w:color="auto" w:fill="FFFFFF"/>
        </w:rPr>
        <w:t>a.按照评标总得分（FA）由高到低顺序排列。</w:t>
      </w:r>
    </w:p>
    <w:p w14:paraId="67DE87D4">
      <w:pPr>
        <w:pStyle w:val="19"/>
        <w:spacing w:before="0" w:beforeAutospacing="0" w:after="0" w:afterAutospacing="0" w:line="360" w:lineRule="auto"/>
        <w:ind w:left="150" w:right="150"/>
        <w:rPr>
          <w:rFonts w:hint="eastAsia" w:ascii="宋体" w:hAnsi="宋体" w:eastAsia="宋体" w:cs="宋体"/>
          <w:color w:val="auto"/>
          <w:sz w:val="24"/>
          <w:szCs w:val="24"/>
        </w:rPr>
      </w:pPr>
      <w:r>
        <w:rPr>
          <w:rFonts w:hint="eastAsia" w:ascii="宋体" w:hAnsi="宋体" w:eastAsia="宋体" w:cs="宋体"/>
          <w:color w:val="auto"/>
          <w:sz w:val="24"/>
          <w:szCs w:val="24"/>
          <w:shd w:val="clear" w:color="auto" w:fill="FFFFFF"/>
        </w:rPr>
        <w:t>b.评标总得分（FA）相同的，按照评标价（即价格扣除后的投标报价）由低到高顺序排列。</w:t>
      </w:r>
    </w:p>
    <w:p w14:paraId="0728D80D">
      <w:pPr>
        <w:pStyle w:val="19"/>
        <w:spacing w:before="0" w:beforeAutospacing="0" w:after="0" w:afterAutospacing="0" w:line="360" w:lineRule="auto"/>
        <w:ind w:left="150" w:right="150"/>
        <w:rPr>
          <w:rFonts w:hint="eastAsia" w:ascii="宋体" w:hAnsi="宋体" w:eastAsia="宋体" w:cs="宋体"/>
          <w:color w:val="auto"/>
          <w:sz w:val="24"/>
          <w:szCs w:val="24"/>
        </w:rPr>
      </w:pPr>
      <w:r>
        <w:rPr>
          <w:rFonts w:hint="eastAsia" w:ascii="宋体" w:hAnsi="宋体" w:eastAsia="宋体" w:cs="宋体"/>
          <w:color w:val="auto"/>
          <w:sz w:val="24"/>
          <w:szCs w:val="24"/>
          <w:shd w:val="clear" w:color="auto" w:fill="FFFFFF"/>
        </w:rPr>
        <w:t>c.评标总得分（FA）且评标价（即价格扣除后的投标报价）相同的并列。</w:t>
      </w:r>
    </w:p>
    <w:p w14:paraId="05E3D8EA">
      <w:pPr>
        <w:pStyle w:val="19"/>
        <w:spacing w:before="0" w:beforeAutospacing="0" w:after="0" w:afterAutospacing="0" w:line="360" w:lineRule="auto"/>
        <w:ind w:left="150" w:right="150"/>
        <w:rPr>
          <w:rFonts w:hint="eastAsia" w:ascii="宋体" w:hAnsi="宋体" w:eastAsia="宋体" w:cs="宋体"/>
          <w:color w:val="auto"/>
          <w:sz w:val="24"/>
          <w:szCs w:val="24"/>
        </w:rPr>
      </w:pPr>
      <w:r>
        <w:rPr>
          <w:rFonts w:hint="eastAsia" w:ascii="宋体" w:hAnsi="宋体" w:eastAsia="宋体" w:cs="宋体"/>
          <w:color w:val="auto"/>
          <w:sz w:val="24"/>
          <w:szCs w:val="24"/>
          <w:shd w:val="clear" w:color="auto" w:fill="FFFFFF"/>
        </w:rPr>
        <w:t>d.经前述顺序处理仍然并列相同的，则通过随机抽取方式确定优先顺序推荐。</w:t>
      </w:r>
    </w:p>
    <w:p w14:paraId="040CB40E">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br w:type="page"/>
      </w:r>
      <w:r>
        <w:rPr>
          <w:rFonts w:hint="eastAsia" w:ascii="宋体" w:hAnsi="宋体" w:eastAsia="宋体" w:cs="宋体"/>
          <w:bCs/>
          <w:color w:val="auto"/>
          <w:sz w:val="24"/>
          <w:szCs w:val="24"/>
        </w:rPr>
        <w:t>一、投标书</w:t>
      </w:r>
    </w:p>
    <w:p w14:paraId="100256B9">
      <w:pPr>
        <w:spacing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致：福建省肿瘤医院</w:t>
      </w:r>
    </w:p>
    <w:p w14:paraId="0EA5C2A8">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1、根据你方</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项目的投标须知、招标文件等内容，遵照《中华人民共和国招标投标法》等有关规定，经踏勘项目现场和研究上述招标文件的投标须知、条款、数量清单及其他有关文件后，我方愿以人民币（大写）</w:t>
      </w:r>
      <w:r>
        <w:rPr>
          <w:rFonts w:hint="eastAsia" w:ascii="宋体" w:hAnsi="宋体" w:eastAsia="宋体" w:cs="宋体"/>
          <w:bCs/>
          <w:color w:val="auto"/>
          <w:sz w:val="24"/>
          <w:szCs w:val="24"/>
          <w:u w:val="single"/>
        </w:rPr>
        <w:t>：        （小写：           ）</w:t>
      </w:r>
      <w:r>
        <w:rPr>
          <w:rFonts w:hint="eastAsia" w:ascii="宋体" w:hAnsi="宋体" w:eastAsia="宋体" w:cs="宋体"/>
          <w:bCs/>
          <w:color w:val="auto"/>
          <w:sz w:val="24"/>
          <w:szCs w:val="24"/>
        </w:rPr>
        <w:t>的投标报价并按上述条款、标准要求承包上述项目，并承担任何质量缺陷保修责任。</w:t>
      </w:r>
    </w:p>
    <w:p w14:paraId="2224E2DB">
      <w:pPr>
        <w:spacing w:line="360" w:lineRule="auto"/>
        <w:ind w:firstLine="456" w:firstLineChars="190"/>
        <w:rPr>
          <w:rFonts w:hint="eastAsia" w:ascii="宋体" w:hAnsi="宋体" w:eastAsia="宋体" w:cs="宋体"/>
          <w:bCs/>
          <w:color w:val="auto"/>
          <w:sz w:val="24"/>
          <w:szCs w:val="24"/>
        </w:rPr>
      </w:pPr>
      <w:r>
        <w:rPr>
          <w:rFonts w:hint="eastAsia" w:ascii="宋体" w:hAnsi="宋体" w:eastAsia="宋体" w:cs="宋体"/>
          <w:bCs/>
          <w:color w:val="auto"/>
          <w:sz w:val="24"/>
          <w:szCs w:val="24"/>
        </w:rPr>
        <w:t>2、我方已详细审核全部招标文件及有关附件。</w:t>
      </w:r>
    </w:p>
    <w:p w14:paraId="579B88EF">
      <w:pPr>
        <w:spacing w:line="360" w:lineRule="auto"/>
        <w:ind w:firstLine="456" w:firstLineChars="190"/>
        <w:rPr>
          <w:rFonts w:hint="eastAsia" w:ascii="宋体" w:hAnsi="宋体" w:eastAsia="宋体" w:cs="宋体"/>
          <w:bCs/>
          <w:color w:val="auto"/>
          <w:sz w:val="24"/>
          <w:szCs w:val="24"/>
        </w:rPr>
      </w:pPr>
      <w:r>
        <w:rPr>
          <w:rFonts w:hint="eastAsia" w:ascii="宋体" w:hAnsi="宋体" w:eastAsia="宋体" w:cs="宋体"/>
          <w:bCs/>
          <w:color w:val="auto"/>
          <w:sz w:val="24"/>
          <w:szCs w:val="24"/>
        </w:rPr>
        <w:t>3、一旦我方中标，我方保证质量达到</w:t>
      </w:r>
      <w:r>
        <w:rPr>
          <w:rFonts w:hint="eastAsia" w:ascii="宋体" w:hAnsi="宋体" w:eastAsia="宋体" w:cs="宋体"/>
          <w:bCs/>
          <w:color w:val="auto"/>
          <w:sz w:val="24"/>
          <w:szCs w:val="24"/>
          <w:u w:val="single"/>
        </w:rPr>
        <w:t>投标须知、投标文件等规定</w:t>
      </w:r>
      <w:r>
        <w:rPr>
          <w:rFonts w:hint="eastAsia" w:ascii="宋体" w:hAnsi="宋体" w:eastAsia="宋体" w:cs="宋体"/>
          <w:bCs/>
          <w:color w:val="auto"/>
          <w:sz w:val="24"/>
          <w:szCs w:val="24"/>
        </w:rPr>
        <w:t>标准。</w:t>
      </w:r>
    </w:p>
    <w:p w14:paraId="57422050">
      <w:pPr>
        <w:spacing w:line="360" w:lineRule="auto"/>
        <w:ind w:firstLine="456" w:firstLineChars="190"/>
        <w:rPr>
          <w:rFonts w:hint="eastAsia" w:ascii="宋体" w:hAnsi="宋体" w:eastAsia="宋体" w:cs="宋体"/>
          <w:bCs/>
          <w:color w:val="auto"/>
          <w:sz w:val="24"/>
          <w:szCs w:val="24"/>
        </w:rPr>
      </w:pPr>
      <w:r>
        <w:rPr>
          <w:rFonts w:hint="eastAsia" w:ascii="宋体" w:hAnsi="宋体" w:eastAsia="宋体" w:cs="宋体"/>
          <w:bCs/>
          <w:color w:val="auto"/>
          <w:sz w:val="24"/>
          <w:szCs w:val="24"/>
        </w:rPr>
        <w:t>4、我方同意所提交的投标文件在招标文件的投标须知中规定的投标有效期内有效，在此期间内如果中标，我方将受此约束。</w:t>
      </w:r>
    </w:p>
    <w:p w14:paraId="097FD47C">
      <w:pPr>
        <w:spacing w:line="360" w:lineRule="auto"/>
        <w:ind w:firstLine="426"/>
        <w:rPr>
          <w:rFonts w:hint="eastAsia" w:ascii="宋体" w:hAnsi="宋体" w:eastAsia="宋体" w:cs="宋体"/>
          <w:bCs/>
          <w:color w:val="auto"/>
          <w:sz w:val="24"/>
          <w:szCs w:val="24"/>
        </w:rPr>
      </w:pPr>
      <w:r>
        <w:rPr>
          <w:rFonts w:hint="eastAsia" w:ascii="宋体" w:hAnsi="宋体" w:eastAsia="宋体" w:cs="宋体"/>
          <w:bCs/>
          <w:color w:val="auto"/>
          <w:sz w:val="24"/>
          <w:szCs w:val="24"/>
        </w:rPr>
        <w:t>5、除非另外达成协议并生效，你方的中标通知书和本投标文件将成为约束双方的合同文件的组成部分。</w:t>
      </w:r>
    </w:p>
    <w:p w14:paraId="659E3BCB">
      <w:pPr>
        <w:spacing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附件：报价清单</w:t>
      </w:r>
    </w:p>
    <w:p w14:paraId="449DFBAA">
      <w:pPr>
        <w:spacing w:line="360" w:lineRule="auto"/>
        <w:ind w:firstLine="2760" w:firstLineChars="115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投标人（盖章）： </w:t>
      </w:r>
    </w:p>
    <w:p w14:paraId="0326C448">
      <w:pPr>
        <w:spacing w:line="360" w:lineRule="auto"/>
        <w:rPr>
          <w:rFonts w:hint="eastAsia" w:ascii="宋体" w:hAnsi="宋体" w:eastAsia="宋体" w:cs="宋体"/>
          <w:bCs/>
          <w:color w:val="auto"/>
          <w:sz w:val="24"/>
          <w:szCs w:val="24"/>
        </w:rPr>
      </w:pPr>
    </w:p>
    <w:p w14:paraId="58D826E7">
      <w:pPr>
        <w:spacing w:line="360" w:lineRule="auto"/>
        <w:ind w:firstLine="2760" w:firstLineChars="115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单位地址： </w:t>
      </w:r>
    </w:p>
    <w:p w14:paraId="1DCCCDD4">
      <w:pPr>
        <w:spacing w:line="360" w:lineRule="auto"/>
        <w:rPr>
          <w:rFonts w:hint="eastAsia" w:ascii="宋体" w:hAnsi="宋体" w:eastAsia="宋体" w:cs="宋体"/>
          <w:bCs/>
          <w:color w:val="auto"/>
          <w:sz w:val="24"/>
          <w:szCs w:val="24"/>
        </w:rPr>
      </w:pPr>
    </w:p>
    <w:p w14:paraId="17328201">
      <w:pPr>
        <w:spacing w:line="360" w:lineRule="auto"/>
        <w:ind w:firstLine="2760" w:firstLineChars="1150"/>
        <w:rPr>
          <w:rFonts w:hint="eastAsia" w:ascii="宋体" w:hAnsi="宋体" w:eastAsia="宋体" w:cs="宋体"/>
          <w:bCs/>
          <w:color w:val="auto"/>
          <w:sz w:val="24"/>
          <w:szCs w:val="24"/>
        </w:rPr>
      </w:pPr>
      <w:r>
        <w:rPr>
          <w:rFonts w:hint="eastAsia" w:ascii="宋体" w:hAnsi="宋体" w:eastAsia="宋体" w:cs="宋体"/>
          <w:bCs/>
          <w:color w:val="auto"/>
          <w:sz w:val="24"/>
          <w:szCs w:val="24"/>
        </w:rPr>
        <w:t>法定代表人（签字或盖章）：</w:t>
      </w:r>
    </w:p>
    <w:p w14:paraId="6A980087">
      <w:pPr>
        <w:spacing w:line="360" w:lineRule="auto"/>
        <w:rPr>
          <w:rFonts w:hint="eastAsia" w:ascii="宋体" w:hAnsi="宋体" w:eastAsia="宋体" w:cs="宋体"/>
          <w:bCs/>
          <w:color w:val="auto"/>
          <w:sz w:val="24"/>
          <w:szCs w:val="24"/>
        </w:rPr>
      </w:pPr>
    </w:p>
    <w:p w14:paraId="16DA997C">
      <w:pPr>
        <w:spacing w:line="360" w:lineRule="auto"/>
        <w:ind w:firstLine="2760" w:firstLineChars="115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邮政编码：         </w:t>
      </w:r>
    </w:p>
    <w:p w14:paraId="36D17AE1">
      <w:pPr>
        <w:spacing w:line="360" w:lineRule="auto"/>
        <w:ind w:firstLine="2760" w:firstLineChars="1150"/>
        <w:rPr>
          <w:rFonts w:hint="eastAsia" w:ascii="宋体" w:hAnsi="宋体" w:eastAsia="宋体" w:cs="宋体"/>
          <w:bCs/>
          <w:color w:val="auto"/>
          <w:sz w:val="24"/>
          <w:szCs w:val="24"/>
        </w:rPr>
      </w:pPr>
    </w:p>
    <w:p w14:paraId="450BD840">
      <w:pPr>
        <w:spacing w:line="360" w:lineRule="auto"/>
        <w:ind w:firstLine="2760" w:firstLineChars="115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电话：       </w:t>
      </w:r>
    </w:p>
    <w:p w14:paraId="370A4B99">
      <w:pPr>
        <w:spacing w:line="360" w:lineRule="auto"/>
        <w:ind w:firstLine="2760" w:firstLineChars="1150"/>
        <w:rPr>
          <w:rFonts w:hint="eastAsia" w:ascii="宋体" w:hAnsi="宋体" w:eastAsia="宋体" w:cs="宋体"/>
          <w:bCs/>
          <w:color w:val="auto"/>
          <w:sz w:val="24"/>
          <w:szCs w:val="24"/>
        </w:rPr>
      </w:pPr>
    </w:p>
    <w:p w14:paraId="34082A43">
      <w:pPr>
        <w:spacing w:line="360" w:lineRule="auto"/>
        <w:ind w:firstLine="2760" w:firstLineChars="115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传真：  </w:t>
      </w:r>
    </w:p>
    <w:p w14:paraId="4F6DFD1F">
      <w:pPr>
        <w:spacing w:line="360" w:lineRule="auto"/>
        <w:rPr>
          <w:rFonts w:hint="eastAsia" w:ascii="宋体" w:hAnsi="宋体" w:eastAsia="宋体" w:cs="宋体"/>
          <w:bCs/>
          <w:color w:val="auto"/>
          <w:sz w:val="24"/>
          <w:szCs w:val="24"/>
        </w:rPr>
      </w:pPr>
    </w:p>
    <w:p w14:paraId="4E7D6AA3">
      <w:pPr>
        <w:spacing w:line="360" w:lineRule="auto"/>
        <w:ind w:firstLine="2760" w:firstLineChars="115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开户银行名称： </w:t>
      </w:r>
    </w:p>
    <w:p w14:paraId="2E04D3A1">
      <w:pPr>
        <w:spacing w:line="360" w:lineRule="auto"/>
        <w:rPr>
          <w:rFonts w:hint="eastAsia" w:ascii="宋体" w:hAnsi="宋体" w:eastAsia="宋体" w:cs="宋体"/>
          <w:bCs/>
          <w:color w:val="auto"/>
          <w:sz w:val="24"/>
          <w:szCs w:val="24"/>
        </w:rPr>
      </w:pPr>
    </w:p>
    <w:p w14:paraId="72B485B7">
      <w:pPr>
        <w:spacing w:line="360" w:lineRule="auto"/>
        <w:ind w:firstLine="2760" w:firstLineChars="115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开户银行帐号： </w:t>
      </w:r>
    </w:p>
    <w:p w14:paraId="52E71C7B">
      <w:pPr>
        <w:spacing w:line="360" w:lineRule="auto"/>
        <w:rPr>
          <w:rFonts w:hint="eastAsia" w:ascii="宋体" w:hAnsi="宋体" w:eastAsia="宋体" w:cs="宋体"/>
          <w:bCs/>
          <w:color w:val="auto"/>
          <w:sz w:val="24"/>
          <w:szCs w:val="24"/>
        </w:rPr>
      </w:pPr>
    </w:p>
    <w:p w14:paraId="3A2696FB">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开户银行地址：</w:t>
      </w:r>
    </w:p>
    <w:p w14:paraId="7DBEB4C5">
      <w:pPr>
        <w:spacing w:line="360" w:lineRule="auto"/>
        <w:rPr>
          <w:rFonts w:hint="eastAsia" w:ascii="宋体" w:hAnsi="宋体" w:eastAsia="宋体" w:cs="宋体"/>
          <w:bCs/>
          <w:color w:val="auto"/>
          <w:sz w:val="24"/>
          <w:szCs w:val="24"/>
        </w:rPr>
      </w:pPr>
    </w:p>
    <w:p w14:paraId="5E6509F1">
      <w:pPr>
        <w:spacing w:line="360" w:lineRule="auto"/>
        <w:ind w:firstLine="2760" w:firstLineChars="115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开户银行电话： </w:t>
      </w:r>
    </w:p>
    <w:p w14:paraId="0AE7BA6B">
      <w:pPr>
        <w:spacing w:line="360" w:lineRule="auto"/>
        <w:ind w:firstLine="600"/>
        <w:rPr>
          <w:rFonts w:hint="eastAsia" w:ascii="宋体" w:hAnsi="宋体" w:eastAsia="宋体" w:cs="宋体"/>
          <w:bCs/>
          <w:color w:val="auto"/>
          <w:sz w:val="24"/>
          <w:szCs w:val="24"/>
        </w:rPr>
      </w:pPr>
    </w:p>
    <w:p w14:paraId="1BCDD239">
      <w:pPr>
        <w:spacing w:line="360" w:lineRule="auto"/>
        <w:jc w:val="right"/>
        <w:rPr>
          <w:rFonts w:hint="eastAsia" w:ascii="宋体" w:hAnsi="宋体" w:eastAsia="宋体" w:cs="宋体"/>
          <w:bCs/>
          <w:color w:val="auto"/>
          <w:sz w:val="24"/>
          <w:szCs w:val="24"/>
        </w:rPr>
      </w:pPr>
      <w:r>
        <w:rPr>
          <w:rFonts w:hint="eastAsia" w:ascii="宋体" w:hAnsi="宋体" w:eastAsia="宋体" w:cs="宋体"/>
          <w:bCs/>
          <w:color w:val="auto"/>
          <w:sz w:val="24"/>
          <w:szCs w:val="24"/>
        </w:rPr>
        <w:t>日期：   年   月    日</w:t>
      </w:r>
    </w:p>
    <w:p w14:paraId="23B5E454">
      <w:pPr>
        <w:spacing w:line="360" w:lineRule="auto"/>
        <w:rPr>
          <w:rFonts w:hint="eastAsia" w:ascii="宋体" w:hAnsi="宋体" w:eastAsia="宋体" w:cs="宋体"/>
          <w:bCs/>
          <w:color w:val="auto"/>
          <w:sz w:val="24"/>
          <w:szCs w:val="24"/>
        </w:rPr>
      </w:pPr>
    </w:p>
    <w:p w14:paraId="331C4405">
      <w:pPr>
        <w:rPr>
          <w:rFonts w:hint="eastAsia" w:ascii="宋体" w:hAnsi="宋体" w:eastAsia="宋体" w:cs="宋体"/>
          <w:bCs/>
          <w:color w:val="auto"/>
          <w:sz w:val="24"/>
          <w:szCs w:val="24"/>
        </w:rPr>
      </w:pPr>
      <w:r>
        <w:rPr>
          <w:rFonts w:hint="eastAsia" w:ascii="宋体" w:hAnsi="宋体" w:eastAsia="宋体" w:cs="宋体"/>
          <w:bCs/>
          <w:color w:val="auto"/>
          <w:sz w:val="24"/>
          <w:szCs w:val="24"/>
        </w:rPr>
        <w:br w:type="page"/>
      </w:r>
    </w:p>
    <w:p w14:paraId="3D13AB12">
      <w:pPr>
        <w:spacing w:line="360" w:lineRule="auto"/>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rPr>
        <w:t>附件：投标报价清单</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投标人自拟）</w:t>
      </w:r>
    </w:p>
    <w:p w14:paraId="547879CC">
      <w:pPr>
        <w:spacing w:line="360" w:lineRule="auto"/>
        <w:rPr>
          <w:rFonts w:hint="eastAsia" w:ascii="宋体" w:hAnsi="宋体" w:eastAsia="宋体" w:cs="宋体"/>
          <w:bCs/>
          <w:color w:val="auto"/>
          <w:sz w:val="24"/>
          <w:szCs w:val="24"/>
        </w:rPr>
      </w:pPr>
    </w:p>
    <w:tbl>
      <w:tblPr>
        <w:tblStyle w:val="24"/>
        <w:tblW w:w="0" w:type="auto"/>
        <w:jc w:val="center"/>
        <w:tblLayout w:type="fixed"/>
        <w:tblCellMar>
          <w:top w:w="0" w:type="dxa"/>
          <w:left w:w="108" w:type="dxa"/>
          <w:bottom w:w="0" w:type="dxa"/>
          <w:right w:w="108" w:type="dxa"/>
        </w:tblCellMar>
      </w:tblPr>
      <w:tblGrid>
        <w:gridCol w:w="629"/>
        <w:gridCol w:w="4399"/>
        <w:gridCol w:w="1417"/>
        <w:gridCol w:w="1440"/>
      </w:tblGrid>
      <w:tr w14:paraId="7BFA2DA4">
        <w:tblPrEx>
          <w:tblCellMar>
            <w:top w:w="0" w:type="dxa"/>
            <w:left w:w="108" w:type="dxa"/>
            <w:bottom w:w="0" w:type="dxa"/>
            <w:right w:w="108" w:type="dxa"/>
          </w:tblCellMar>
        </w:tblPrEx>
        <w:trPr>
          <w:trHeight w:val="784" w:hRule="atLeast"/>
          <w:jc w:val="center"/>
        </w:trPr>
        <w:tc>
          <w:tcPr>
            <w:tcW w:w="629" w:type="dxa"/>
            <w:tcBorders>
              <w:top w:val="single" w:color="auto" w:sz="4" w:space="0"/>
              <w:left w:val="single" w:color="auto" w:sz="4" w:space="0"/>
              <w:bottom w:val="single" w:color="000000" w:sz="4" w:space="0"/>
              <w:right w:val="single" w:color="auto" w:sz="4" w:space="0"/>
            </w:tcBorders>
            <w:shd w:val="clear" w:color="FFFFFF" w:fill="auto"/>
            <w:vAlign w:val="center"/>
          </w:tcPr>
          <w:p w14:paraId="57E56402">
            <w:pPr>
              <w:spacing w:line="360" w:lineRule="auto"/>
              <w:jc w:val="center"/>
              <w:rPr>
                <w:rFonts w:hint="eastAsia" w:ascii="宋体" w:hAnsi="宋体" w:eastAsia="宋体" w:cs="宋体"/>
                <w:bCs/>
                <w:color w:val="auto"/>
                <w:sz w:val="24"/>
                <w:szCs w:val="24"/>
              </w:rPr>
            </w:pPr>
          </w:p>
        </w:tc>
        <w:tc>
          <w:tcPr>
            <w:tcW w:w="4399" w:type="dxa"/>
            <w:tcBorders>
              <w:top w:val="single" w:color="auto" w:sz="4" w:space="0"/>
              <w:left w:val="single" w:color="000000" w:sz="4" w:space="0"/>
              <w:bottom w:val="single" w:color="000000" w:sz="4" w:space="0"/>
              <w:right w:val="single" w:color="000000" w:sz="4" w:space="0"/>
            </w:tcBorders>
            <w:shd w:val="clear" w:color="FFFFFF" w:fill="auto"/>
            <w:vAlign w:val="center"/>
          </w:tcPr>
          <w:p w14:paraId="71FC76E3">
            <w:pPr>
              <w:spacing w:line="360" w:lineRule="auto"/>
              <w:jc w:val="center"/>
              <w:rPr>
                <w:rFonts w:hint="eastAsia" w:ascii="宋体" w:hAnsi="宋体" w:eastAsia="宋体" w:cs="宋体"/>
                <w:bCs/>
                <w:color w:val="auto"/>
                <w:sz w:val="24"/>
                <w:szCs w:val="24"/>
              </w:rPr>
            </w:pPr>
          </w:p>
        </w:tc>
        <w:tc>
          <w:tcPr>
            <w:tcW w:w="1417" w:type="dxa"/>
            <w:tcBorders>
              <w:top w:val="single" w:color="auto" w:sz="4" w:space="0"/>
              <w:left w:val="single" w:color="000000" w:sz="4" w:space="0"/>
              <w:bottom w:val="single" w:color="000000" w:sz="4" w:space="0"/>
              <w:right w:val="single" w:color="auto" w:sz="4" w:space="0"/>
            </w:tcBorders>
            <w:shd w:val="clear" w:color="FFFFFF" w:fill="auto"/>
            <w:vAlign w:val="center"/>
          </w:tcPr>
          <w:p w14:paraId="61E58168">
            <w:pPr>
              <w:spacing w:line="360" w:lineRule="auto"/>
              <w:jc w:val="center"/>
              <w:rPr>
                <w:rFonts w:hint="eastAsia" w:ascii="宋体" w:hAnsi="宋体" w:eastAsia="宋体" w:cs="宋体"/>
                <w:bCs/>
                <w:color w:val="auto"/>
                <w:sz w:val="24"/>
                <w:szCs w:val="24"/>
              </w:rPr>
            </w:pPr>
          </w:p>
        </w:tc>
        <w:tc>
          <w:tcPr>
            <w:tcW w:w="1440" w:type="dxa"/>
            <w:tcBorders>
              <w:top w:val="single" w:color="auto" w:sz="4" w:space="0"/>
              <w:left w:val="single" w:color="000000" w:sz="4" w:space="0"/>
              <w:bottom w:val="single" w:color="000000" w:sz="4" w:space="0"/>
              <w:right w:val="single" w:color="auto" w:sz="4" w:space="0"/>
            </w:tcBorders>
            <w:shd w:val="clear" w:color="FFFFFF" w:fill="auto"/>
            <w:vAlign w:val="center"/>
          </w:tcPr>
          <w:p w14:paraId="3F4B36BC">
            <w:pPr>
              <w:spacing w:line="360" w:lineRule="auto"/>
              <w:jc w:val="center"/>
              <w:rPr>
                <w:rFonts w:hint="eastAsia" w:ascii="宋体" w:hAnsi="宋体" w:eastAsia="宋体" w:cs="宋体"/>
                <w:bCs/>
                <w:color w:val="auto"/>
                <w:sz w:val="24"/>
                <w:szCs w:val="24"/>
              </w:rPr>
            </w:pPr>
          </w:p>
        </w:tc>
      </w:tr>
      <w:tr w14:paraId="387EEB00">
        <w:tblPrEx>
          <w:tblCellMar>
            <w:top w:w="0" w:type="dxa"/>
            <w:left w:w="108" w:type="dxa"/>
            <w:bottom w:w="0" w:type="dxa"/>
            <w:right w:w="108" w:type="dxa"/>
          </w:tblCellMar>
        </w:tblPrEx>
        <w:trPr>
          <w:trHeight w:val="784" w:hRule="atLeast"/>
          <w:jc w:val="center"/>
        </w:trPr>
        <w:tc>
          <w:tcPr>
            <w:tcW w:w="629" w:type="dxa"/>
            <w:tcBorders>
              <w:top w:val="single" w:color="auto" w:sz="4" w:space="0"/>
              <w:left w:val="single" w:color="auto" w:sz="4" w:space="0"/>
              <w:bottom w:val="single" w:color="auto" w:sz="4" w:space="0"/>
              <w:right w:val="single" w:color="auto" w:sz="4" w:space="0"/>
            </w:tcBorders>
            <w:shd w:val="clear" w:color="FFFFFF" w:fill="auto"/>
            <w:vAlign w:val="center"/>
          </w:tcPr>
          <w:p w14:paraId="2F9D49D1">
            <w:pPr>
              <w:spacing w:line="360" w:lineRule="auto"/>
              <w:jc w:val="center"/>
              <w:rPr>
                <w:rFonts w:hint="eastAsia" w:ascii="宋体" w:hAnsi="宋体" w:eastAsia="宋体" w:cs="宋体"/>
                <w:bCs/>
                <w:color w:val="auto"/>
                <w:sz w:val="24"/>
                <w:szCs w:val="24"/>
              </w:rPr>
            </w:pPr>
          </w:p>
        </w:tc>
        <w:tc>
          <w:tcPr>
            <w:tcW w:w="4399" w:type="dxa"/>
            <w:tcBorders>
              <w:top w:val="single" w:color="auto" w:sz="4" w:space="0"/>
              <w:left w:val="single" w:color="000000" w:sz="4" w:space="0"/>
              <w:bottom w:val="single" w:color="auto" w:sz="4" w:space="0"/>
              <w:right w:val="single" w:color="000000" w:sz="4" w:space="0"/>
            </w:tcBorders>
            <w:shd w:val="clear" w:color="FFFFFF" w:fill="auto"/>
            <w:vAlign w:val="center"/>
          </w:tcPr>
          <w:p w14:paraId="7ABC476D">
            <w:pPr>
              <w:pStyle w:val="18"/>
              <w:shd w:val="clear" w:color="auto" w:fill="FFFFFF"/>
              <w:spacing w:line="360" w:lineRule="auto"/>
              <w:ind w:left="5250"/>
              <w:rPr>
                <w:rFonts w:hint="eastAsia" w:ascii="宋体" w:hAnsi="宋体" w:eastAsia="宋体" w:cs="宋体"/>
                <w:bCs/>
                <w:color w:val="auto"/>
                <w:kern w:val="2"/>
                <w:sz w:val="24"/>
                <w:szCs w:val="24"/>
              </w:rPr>
            </w:pPr>
          </w:p>
        </w:tc>
        <w:tc>
          <w:tcPr>
            <w:tcW w:w="1417" w:type="dxa"/>
            <w:tcBorders>
              <w:top w:val="single" w:color="auto" w:sz="4" w:space="0"/>
              <w:left w:val="single" w:color="000000" w:sz="4" w:space="0"/>
              <w:bottom w:val="single" w:color="auto" w:sz="4" w:space="0"/>
              <w:right w:val="single" w:color="auto" w:sz="4" w:space="0"/>
            </w:tcBorders>
            <w:shd w:val="clear" w:color="FFFFFF" w:fill="auto"/>
          </w:tcPr>
          <w:p w14:paraId="268AEF74">
            <w:pPr>
              <w:spacing w:line="360" w:lineRule="auto"/>
              <w:jc w:val="center"/>
              <w:rPr>
                <w:rFonts w:hint="eastAsia" w:ascii="宋体" w:hAnsi="宋体" w:eastAsia="宋体" w:cs="宋体"/>
                <w:bCs/>
                <w:color w:val="auto"/>
                <w:sz w:val="24"/>
                <w:szCs w:val="24"/>
              </w:rPr>
            </w:pPr>
          </w:p>
        </w:tc>
        <w:tc>
          <w:tcPr>
            <w:tcW w:w="1440" w:type="dxa"/>
            <w:tcBorders>
              <w:top w:val="single" w:color="auto" w:sz="4" w:space="0"/>
              <w:left w:val="single" w:color="000000" w:sz="4" w:space="0"/>
              <w:bottom w:val="single" w:color="auto" w:sz="4" w:space="0"/>
              <w:right w:val="single" w:color="auto" w:sz="4" w:space="0"/>
            </w:tcBorders>
            <w:shd w:val="clear" w:color="FFFFFF" w:fill="auto"/>
          </w:tcPr>
          <w:p w14:paraId="4A551ED3">
            <w:pPr>
              <w:spacing w:line="360" w:lineRule="auto"/>
              <w:jc w:val="center"/>
              <w:rPr>
                <w:rFonts w:hint="eastAsia" w:ascii="宋体" w:hAnsi="宋体" w:eastAsia="宋体" w:cs="宋体"/>
                <w:bCs/>
                <w:color w:val="auto"/>
                <w:sz w:val="24"/>
                <w:szCs w:val="24"/>
              </w:rPr>
            </w:pPr>
          </w:p>
        </w:tc>
      </w:tr>
      <w:tr w14:paraId="011F4496">
        <w:tblPrEx>
          <w:tblCellMar>
            <w:top w:w="0" w:type="dxa"/>
            <w:left w:w="108" w:type="dxa"/>
            <w:bottom w:w="0" w:type="dxa"/>
            <w:right w:w="108" w:type="dxa"/>
          </w:tblCellMar>
        </w:tblPrEx>
        <w:trPr>
          <w:trHeight w:val="784" w:hRule="atLeast"/>
          <w:jc w:val="center"/>
        </w:trPr>
        <w:tc>
          <w:tcPr>
            <w:tcW w:w="629" w:type="dxa"/>
            <w:tcBorders>
              <w:top w:val="single" w:color="auto" w:sz="4" w:space="0"/>
              <w:left w:val="single" w:color="auto" w:sz="4" w:space="0"/>
              <w:bottom w:val="single" w:color="auto" w:sz="4" w:space="0"/>
              <w:right w:val="single" w:color="auto" w:sz="4" w:space="0"/>
            </w:tcBorders>
            <w:shd w:val="clear" w:color="FFFFFF" w:fill="auto"/>
            <w:vAlign w:val="center"/>
          </w:tcPr>
          <w:p w14:paraId="203C98B5">
            <w:pPr>
              <w:spacing w:line="360" w:lineRule="auto"/>
              <w:jc w:val="center"/>
              <w:rPr>
                <w:rFonts w:hint="eastAsia" w:ascii="宋体" w:hAnsi="宋体" w:eastAsia="宋体" w:cs="宋体"/>
                <w:bCs/>
                <w:color w:val="auto"/>
                <w:sz w:val="24"/>
                <w:szCs w:val="24"/>
              </w:rPr>
            </w:pPr>
          </w:p>
        </w:tc>
        <w:tc>
          <w:tcPr>
            <w:tcW w:w="4399" w:type="dxa"/>
            <w:tcBorders>
              <w:top w:val="single" w:color="auto" w:sz="4" w:space="0"/>
              <w:left w:val="single" w:color="000000" w:sz="4" w:space="0"/>
              <w:bottom w:val="single" w:color="auto" w:sz="4" w:space="0"/>
              <w:right w:val="single" w:color="000000" w:sz="4" w:space="0"/>
            </w:tcBorders>
            <w:shd w:val="clear" w:color="FFFFFF" w:fill="auto"/>
            <w:vAlign w:val="center"/>
          </w:tcPr>
          <w:p w14:paraId="6FB9C4A1">
            <w:pPr>
              <w:pStyle w:val="18"/>
              <w:shd w:val="clear" w:color="auto" w:fill="FFFFFF"/>
              <w:spacing w:line="360" w:lineRule="auto"/>
              <w:ind w:left="5250"/>
              <w:rPr>
                <w:rFonts w:hint="eastAsia" w:ascii="宋体" w:hAnsi="宋体" w:eastAsia="宋体" w:cs="宋体"/>
                <w:bCs/>
                <w:color w:val="auto"/>
                <w:kern w:val="2"/>
                <w:sz w:val="24"/>
                <w:szCs w:val="24"/>
              </w:rPr>
            </w:pPr>
          </w:p>
        </w:tc>
        <w:tc>
          <w:tcPr>
            <w:tcW w:w="1417" w:type="dxa"/>
            <w:tcBorders>
              <w:top w:val="single" w:color="auto" w:sz="4" w:space="0"/>
              <w:left w:val="single" w:color="000000" w:sz="4" w:space="0"/>
              <w:bottom w:val="single" w:color="auto" w:sz="4" w:space="0"/>
              <w:right w:val="single" w:color="auto" w:sz="4" w:space="0"/>
            </w:tcBorders>
            <w:shd w:val="clear" w:color="FFFFFF" w:fill="auto"/>
          </w:tcPr>
          <w:p w14:paraId="1F58215B">
            <w:pPr>
              <w:spacing w:line="360" w:lineRule="auto"/>
              <w:jc w:val="center"/>
              <w:rPr>
                <w:rFonts w:hint="eastAsia" w:ascii="宋体" w:hAnsi="宋体" w:eastAsia="宋体" w:cs="宋体"/>
                <w:bCs/>
                <w:color w:val="auto"/>
                <w:sz w:val="24"/>
                <w:szCs w:val="24"/>
              </w:rPr>
            </w:pPr>
          </w:p>
        </w:tc>
        <w:tc>
          <w:tcPr>
            <w:tcW w:w="1440" w:type="dxa"/>
            <w:tcBorders>
              <w:top w:val="single" w:color="auto" w:sz="4" w:space="0"/>
              <w:left w:val="single" w:color="000000" w:sz="4" w:space="0"/>
              <w:bottom w:val="single" w:color="auto" w:sz="4" w:space="0"/>
              <w:right w:val="single" w:color="auto" w:sz="4" w:space="0"/>
            </w:tcBorders>
            <w:shd w:val="clear" w:color="FFFFFF" w:fill="auto"/>
          </w:tcPr>
          <w:p w14:paraId="086142E0">
            <w:pPr>
              <w:spacing w:line="360" w:lineRule="auto"/>
              <w:jc w:val="center"/>
              <w:rPr>
                <w:rFonts w:hint="eastAsia" w:ascii="宋体" w:hAnsi="宋体" w:eastAsia="宋体" w:cs="宋体"/>
                <w:bCs/>
                <w:color w:val="auto"/>
                <w:sz w:val="24"/>
                <w:szCs w:val="24"/>
              </w:rPr>
            </w:pPr>
          </w:p>
        </w:tc>
      </w:tr>
    </w:tbl>
    <w:p w14:paraId="30F0B8C1">
      <w:pPr>
        <w:spacing w:line="360" w:lineRule="auto"/>
        <w:jc w:val="center"/>
        <w:rPr>
          <w:rFonts w:hint="eastAsia" w:ascii="宋体" w:hAnsi="宋体" w:eastAsia="宋体" w:cs="宋体"/>
          <w:bCs/>
          <w:color w:val="auto"/>
          <w:sz w:val="24"/>
          <w:szCs w:val="24"/>
        </w:rPr>
      </w:pPr>
    </w:p>
    <w:p w14:paraId="45C2071F">
      <w:pPr>
        <w:pStyle w:val="138"/>
        <w:spacing w:line="360" w:lineRule="auto"/>
        <w:rPr>
          <w:rFonts w:hint="eastAsia" w:ascii="宋体" w:hAnsi="宋体" w:eastAsia="宋体" w:cs="宋体"/>
          <w:bCs/>
          <w:color w:val="auto"/>
          <w:sz w:val="24"/>
          <w:szCs w:val="24"/>
        </w:rPr>
      </w:pPr>
    </w:p>
    <w:p w14:paraId="05142EDD">
      <w:pPr>
        <w:pStyle w:val="138"/>
        <w:spacing w:line="360" w:lineRule="auto"/>
        <w:rPr>
          <w:rFonts w:hint="eastAsia" w:ascii="宋体" w:hAnsi="宋体" w:eastAsia="宋体" w:cs="宋体"/>
          <w:bCs/>
          <w:color w:val="auto"/>
          <w:sz w:val="24"/>
          <w:szCs w:val="24"/>
        </w:rPr>
      </w:pPr>
    </w:p>
    <w:p w14:paraId="27D610ED">
      <w:pPr>
        <w:pStyle w:val="138"/>
        <w:spacing w:line="360" w:lineRule="auto"/>
        <w:rPr>
          <w:rFonts w:hint="eastAsia" w:ascii="宋体" w:hAnsi="宋体" w:eastAsia="宋体" w:cs="宋体"/>
          <w:bCs/>
          <w:color w:val="auto"/>
          <w:sz w:val="24"/>
          <w:szCs w:val="24"/>
        </w:rPr>
      </w:pPr>
    </w:p>
    <w:p w14:paraId="4650756C">
      <w:pPr>
        <w:pStyle w:val="138"/>
        <w:spacing w:line="360" w:lineRule="auto"/>
        <w:rPr>
          <w:rFonts w:hint="eastAsia" w:ascii="宋体" w:hAnsi="宋体" w:eastAsia="宋体" w:cs="宋体"/>
          <w:bCs/>
          <w:color w:val="auto"/>
          <w:sz w:val="24"/>
          <w:szCs w:val="24"/>
        </w:rPr>
      </w:pPr>
    </w:p>
    <w:p w14:paraId="33F48942">
      <w:pPr>
        <w:spacing w:line="360" w:lineRule="auto"/>
        <w:rPr>
          <w:rFonts w:hint="eastAsia" w:ascii="宋体" w:hAnsi="宋体" w:eastAsia="宋体" w:cs="宋体"/>
          <w:bCs/>
          <w:color w:val="auto"/>
          <w:kern w:val="28"/>
          <w:sz w:val="24"/>
          <w:szCs w:val="24"/>
        </w:rPr>
      </w:pPr>
      <w:r>
        <w:rPr>
          <w:rFonts w:hint="eastAsia" w:ascii="宋体" w:hAnsi="宋体" w:eastAsia="宋体" w:cs="宋体"/>
          <w:bCs/>
          <w:color w:val="auto"/>
          <w:sz w:val="24"/>
          <w:szCs w:val="24"/>
        </w:rPr>
        <w:br w:type="page"/>
      </w:r>
    </w:p>
    <w:p w14:paraId="7867CFAE">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二、投标委托代表人资格证明书</w:t>
      </w:r>
    </w:p>
    <w:p w14:paraId="554D5357">
      <w:pPr>
        <w:spacing w:line="360" w:lineRule="auto"/>
        <w:rPr>
          <w:rFonts w:hint="eastAsia" w:ascii="宋体" w:hAnsi="宋体" w:eastAsia="宋体" w:cs="宋体"/>
          <w:bCs/>
          <w:color w:val="auto"/>
          <w:sz w:val="24"/>
          <w:szCs w:val="24"/>
        </w:rPr>
      </w:pPr>
    </w:p>
    <w:p w14:paraId="00D5FA8D">
      <w:pPr>
        <w:spacing w:line="360" w:lineRule="auto"/>
        <w:rPr>
          <w:rFonts w:hint="default" w:ascii="宋体" w:hAnsi="宋体" w:eastAsia="宋体" w:cs="宋体"/>
          <w:bCs/>
          <w:color w:val="auto"/>
          <w:sz w:val="24"/>
          <w:szCs w:val="24"/>
          <w:u w:val="single"/>
          <w:lang w:val="en-US" w:eastAsia="zh-CN"/>
        </w:rPr>
      </w:pPr>
      <w:r>
        <w:rPr>
          <w:rFonts w:hint="eastAsia" w:ascii="宋体" w:hAnsi="宋体" w:eastAsia="宋体" w:cs="宋体"/>
          <w:bCs/>
          <w:color w:val="auto"/>
          <w:sz w:val="24"/>
          <w:szCs w:val="24"/>
        </w:rPr>
        <w:t>单位名称：</w:t>
      </w:r>
      <w:r>
        <w:rPr>
          <w:rFonts w:hint="eastAsia" w:ascii="宋体" w:hAnsi="宋体" w:eastAsia="宋体" w:cs="宋体"/>
          <w:bCs/>
          <w:color w:val="auto"/>
          <w:sz w:val="24"/>
          <w:szCs w:val="24"/>
          <w:u w:val="single"/>
          <w:lang w:val="en-US" w:eastAsia="zh-CN"/>
        </w:rPr>
        <w:t xml:space="preserve">     </w:t>
      </w:r>
    </w:p>
    <w:p w14:paraId="3920BD05">
      <w:pPr>
        <w:spacing w:line="360" w:lineRule="auto"/>
        <w:rPr>
          <w:rFonts w:hint="default" w:ascii="宋体" w:hAnsi="宋体" w:eastAsia="宋体" w:cs="宋体"/>
          <w:bCs/>
          <w:color w:val="auto"/>
          <w:sz w:val="24"/>
          <w:szCs w:val="24"/>
          <w:u w:val="single"/>
          <w:lang w:val="en-US" w:eastAsia="zh-CN"/>
        </w:rPr>
      </w:pPr>
      <w:r>
        <w:rPr>
          <w:rFonts w:hint="eastAsia" w:ascii="宋体" w:hAnsi="宋体" w:eastAsia="宋体" w:cs="宋体"/>
          <w:bCs/>
          <w:color w:val="auto"/>
          <w:sz w:val="24"/>
          <w:szCs w:val="24"/>
        </w:rPr>
        <w:t>地址：</w:t>
      </w:r>
      <w:r>
        <w:rPr>
          <w:rFonts w:hint="eastAsia" w:ascii="宋体" w:hAnsi="宋体" w:eastAsia="宋体" w:cs="宋体"/>
          <w:bCs/>
          <w:color w:val="auto"/>
          <w:sz w:val="24"/>
          <w:szCs w:val="24"/>
          <w:u w:val="single"/>
          <w:lang w:val="en-US" w:eastAsia="zh-CN"/>
        </w:rPr>
        <w:t xml:space="preserve">    </w:t>
      </w:r>
    </w:p>
    <w:p w14:paraId="6D33C67B">
      <w:pPr>
        <w:spacing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姓名：</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性别：</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年龄：</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职务：</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系委托代表人。为施工、竣工和保修</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项目，签署上述项目的投标文件、进行合同谈判、签署合同和处理与之有关的一切事务。</w:t>
      </w:r>
    </w:p>
    <w:p w14:paraId="1F8ACA86">
      <w:pPr>
        <w:spacing w:line="360" w:lineRule="auto"/>
        <w:rPr>
          <w:rFonts w:hint="eastAsia" w:ascii="宋体" w:hAnsi="宋体" w:eastAsia="宋体" w:cs="宋体"/>
          <w:bCs/>
          <w:color w:val="auto"/>
          <w:sz w:val="24"/>
          <w:szCs w:val="24"/>
        </w:rPr>
      </w:pPr>
    </w:p>
    <w:p w14:paraId="75D1DE3D">
      <w:pPr>
        <w:spacing w:line="360" w:lineRule="auto"/>
        <w:ind w:firstLine="4680" w:firstLineChars="1950"/>
        <w:rPr>
          <w:rFonts w:hint="eastAsia" w:ascii="宋体" w:hAnsi="宋体" w:eastAsia="宋体" w:cs="宋体"/>
          <w:bCs/>
          <w:color w:val="auto"/>
          <w:sz w:val="24"/>
          <w:szCs w:val="24"/>
        </w:rPr>
      </w:pPr>
      <w:r>
        <w:rPr>
          <w:rFonts w:hint="eastAsia" w:ascii="宋体" w:hAnsi="宋体" w:eastAsia="宋体" w:cs="宋体"/>
          <w:bCs/>
          <w:color w:val="auto"/>
          <w:sz w:val="24"/>
          <w:szCs w:val="24"/>
        </w:rPr>
        <w:t xml:space="preserve">投标人（盖章）：   </w:t>
      </w:r>
    </w:p>
    <w:p w14:paraId="06A12065">
      <w:pPr>
        <w:spacing w:line="360" w:lineRule="auto"/>
        <w:ind w:firstLine="4920" w:firstLineChars="2050"/>
        <w:rPr>
          <w:rFonts w:hint="eastAsia" w:ascii="宋体" w:hAnsi="宋体" w:eastAsia="宋体" w:cs="宋体"/>
          <w:bCs/>
          <w:color w:val="auto"/>
          <w:sz w:val="24"/>
          <w:szCs w:val="24"/>
        </w:rPr>
      </w:pPr>
      <w:r>
        <w:rPr>
          <w:rFonts w:hint="eastAsia" w:ascii="宋体" w:hAnsi="宋体" w:eastAsia="宋体" w:cs="宋体"/>
          <w:bCs/>
          <w:color w:val="auto"/>
          <w:sz w:val="24"/>
          <w:szCs w:val="24"/>
        </w:rPr>
        <w:t>年   月  日</w:t>
      </w:r>
    </w:p>
    <w:p w14:paraId="723DB9CA">
      <w:pPr>
        <w:spacing w:line="360" w:lineRule="auto"/>
        <w:jc w:val="center"/>
        <w:rPr>
          <w:rFonts w:hint="eastAsia" w:ascii="宋体" w:hAnsi="宋体" w:eastAsia="宋体" w:cs="宋体"/>
          <w:bCs/>
          <w:color w:val="auto"/>
          <w:sz w:val="24"/>
          <w:szCs w:val="24"/>
        </w:rPr>
      </w:pPr>
    </w:p>
    <w:p w14:paraId="63087343">
      <w:pPr>
        <w:spacing w:line="360" w:lineRule="auto"/>
        <w:jc w:val="center"/>
        <w:rPr>
          <w:rFonts w:hint="eastAsia" w:ascii="宋体" w:hAnsi="宋体" w:eastAsia="宋体" w:cs="宋体"/>
          <w:bCs/>
          <w:color w:val="auto"/>
          <w:sz w:val="24"/>
          <w:szCs w:val="24"/>
        </w:rPr>
      </w:pPr>
    </w:p>
    <w:p w14:paraId="3B6B5EE3">
      <w:pPr>
        <w:pStyle w:val="138"/>
        <w:spacing w:line="360" w:lineRule="auto"/>
        <w:rPr>
          <w:rFonts w:hint="eastAsia" w:ascii="宋体" w:hAnsi="宋体" w:eastAsia="宋体" w:cs="宋体"/>
          <w:bCs/>
          <w:color w:val="auto"/>
          <w:sz w:val="24"/>
          <w:szCs w:val="24"/>
        </w:rPr>
      </w:pPr>
    </w:p>
    <w:p w14:paraId="23CDC905">
      <w:pPr>
        <w:pStyle w:val="138"/>
        <w:spacing w:line="360" w:lineRule="auto"/>
        <w:rPr>
          <w:rFonts w:hint="eastAsia" w:ascii="宋体" w:hAnsi="宋体" w:eastAsia="宋体" w:cs="宋体"/>
          <w:bCs/>
          <w:color w:val="auto"/>
          <w:sz w:val="24"/>
          <w:szCs w:val="24"/>
        </w:rPr>
      </w:pPr>
    </w:p>
    <w:p w14:paraId="15E3DA15">
      <w:pPr>
        <w:pStyle w:val="138"/>
        <w:spacing w:line="360" w:lineRule="auto"/>
        <w:rPr>
          <w:rFonts w:hint="eastAsia" w:ascii="宋体" w:hAnsi="宋体" w:eastAsia="宋体" w:cs="宋体"/>
          <w:bCs/>
          <w:color w:val="auto"/>
          <w:sz w:val="24"/>
          <w:szCs w:val="24"/>
        </w:rPr>
      </w:pPr>
    </w:p>
    <w:p w14:paraId="3D8AA42D">
      <w:pPr>
        <w:pStyle w:val="138"/>
        <w:spacing w:line="360" w:lineRule="auto"/>
        <w:rPr>
          <w:rFonts w:hint="eastAsia" w:ascii="宋体" w:hAnsi="宋体" w:eastAsia="宋体" w:cs="宋体"/>
          <w:bCs/>
          <w:color w:val="auto"/>
          <w:sz w:val="24"/>
          <w:szCs w:val="24"/>
        </w:rPr>
      </w:pPr>
    </w:p>
    <w:p w14:paraId="2FBE6C8B">
      <w:pPr>
        <w:pStyle w:val="138"/>
        <w:spacing w:line="360" w:lineRule="auto"/>
        <w:rPr>
          <w:rFonts w:hint="eastAsia" w:ascii="宋体" w:hAnsi="宋体" w:eastAsia="宋体" w:cs="宋体"/>
          <w:bCs/>
          <w:color w:val="auto"/>
          <w:sz w:val="24"/>
          <w:szCs w:val="24"/>
        </w:rPr>
      </w:pPr>
    </w:p>
    <w:p w14:paraId="3244A18B">
      <w:pPr>
        <w:pStyle w:val="138"/>
        <w:spacing w:line="360" w:lineRule="auto"/>
        <w:rPr>
          <w:rFonts w:hint="eastAsia" w:ascii="宋体" w:hAnsi="宋体" w:eastAsia="宋体" w:cs="宋体"/>
          <w:bCs/>
          <w:color w:val="auto"/>
          <w:sz w:val="24"/>
          <w:szCs w:val="24"/>
        </w:rPr>
      </w:pPr>
    </w:p>
    <w:p w14:paraId="37A8AEBB">
      <w:pPr>
        <w:pStyle w:val="138"/>
        <w:spacing w:line="360" w:lineRule="auto"/>
        <w:rPr>
          <w:rFonts w:hint="eastAsia" w:ascii="宋体" w:hAnsi="宋体" w:eastAsia="宋体" w:cs="宋体"/>
          <w:bCs/>
          <w:color w:val="auto"/>
          <w:sz w:val="24"/>
          <w:szCs w:val="24"/>
        </w:rPr>
      </w:pPr>
    </w:p>
    <w:p w14:paraId="5036B2E0">
      <w:pPr>
        <w:pStyle w:val="138"/>
        <w:spacing w:line="360" w:lineRule="auto"/>
        <w:rPr>
          <w:rFonts w:hint="eastAsia" w:ascii="宋体" w:hAnsi="宋体" w:eastAsia="宋体" w:cs="宋体"/>
          <w:bCs/>
          <w:color w:val="auto"/>
          <w:sz w:val="24"/>
          <w:szCs w:val="24"/>
        </w:rPr>
      </w:pPr>
    </w:p>
    <w:p w14:paraId="6F832B5A">
      <w:pPr>
        <w:spacing w:line="360" w:lineRule="auto"/>
        <w:rPr>
          <w:rFonts w:hint="eastAsia" w:ascii="宋体" w:hAnsi="宋体" w:eastAsia="宋体" w:cs="宋体"/>
          <w:bCs/>
          <w:color w:val="auto"/>
          <w:kern w:val="28"/>
          <w:sz w:val="24"/>
          <w:szCs w:val="24"/>
        </w:rPr>
      </w:pPr>
      <w:r>
        <w:rPr>
          <w:rFonts w:hint="eastAsia" w:ascii="宋体" w:hAnsi="宋体" w:eastAsia="宋体" w:cs="宋体"/>
          <w:bCs/>
          <w:color w:val="auto"/>
          <w:sz w:val="24"/>
          <w:szCs w:val="24"/>
        </w:rPr>
        <w:br w:type="page"/>
      </w:r>
    </w:p>
    <w:p w14:paraId="43D755D8">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三、投标承诺书</w:t>
      </w:r>
    </w:p>
    <w:p w14:paraId="1A4BADF2">
      <w:pPr>
        <w:tabs>
          <w:tab w:val="left" w:pos="5355"/>
        </w:tabs>
        <w:spacing w:before="100" w:beforeAutospacing="1" w:after="100" w:afterAutospacing="1"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我司承诺对项目的院内公开招标最终确定的综合评定最优结果表示认可，并承诺不会对福建省肿瘤医院在本项目招标过程中的工作模式以及终止本项目招标的可能提出疑议。</w:t>
      </w:r>
    </w:p>
    <w:p w14:paraId="7AC49574">
      <w:pPr>
        <w:tabs>
          <w:tab w:val="left" w:pos="5355"/>
        </w:tabs>
        <w:spacing w:before="100" w:beforeAutospacing="1" w:after="100" w:afterAutospacing="1"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我司承诺本投标所有的相关承诺书、投标文件等都作为本项目合同不可分割的部分，并承诺本项目合同、承诺书、投标书、方案等相关资料中发生歧义、冲突的条款、指标均以福建省肿瘤医院解释或要求为标准。投标人承诺中标后能够完全配合本项目施工的进度开展工作。</w:t>
      </w:r>
    </w:p>
    <w:p w14:paraId="6EC496F9">
      <w:pPr>
        <w:tabs>
          <w:tab w:val="left" w:pos="5355"/>
        </w:tabs>
        <w:spacing w:before="100" w:beforeAutospacing="1" w:after="100" w:afterAutospacing="1" w:line="360" w:lineRule="auto"/>
        <w:ind w:firstLine="480" w:firstLineChars="200"/>
        <w:rPr>
          <w:rFonts w:hint="eastAsia" w:ascii="宋体" w:hAnsi="宋体" w:eastAsia="宋体" w:cs="宋体"/>
          <w:bCs/>
          <w:color w:val="auto"/>
          <w:sz w:val="24"/>
          <w:szCs w:val="24"/>
        </w:rPr>
      </w:pPr>
      <w:r>
        <w:rPr>
          <w:rFonts w:hint="eastAsia" w:ascii="宋体" w:hAnsi="宋体" w:eastAsia="宋体" w:cs="宋体"/>
          <w:bCs/>
          <w:color w:val="auto"/>
          <w:sz w:val="24"/>
          <w:szCs w:val="24"/>
        </w:rPr>
        <w:t>我司承诺福建省肿瘤医院在授予我司合同时有权利增加补充相关内容。</w:t>
      </w:r>
    </w:p>
    <w:p w14:paraId="6DA58EB5">
      <w:pPr>
        <w:tabs>
          <w:tab w:val="left" w:pos="5355"/>
        </w:tabs>
        <w:spacing w:before="100" w:beforeAutospacing="1" w:after="100" w:afterAutospacing="1"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投标人名称（全称并加公章）：</w:t>
      </w:r>
    </w:p>
    <w:p w14:paraId="32613845">
      <w:pPr>
        <w:tabs>
          <w:tab w:val="left" w:pos="5355"/>
        </w:tabs>
        <w:spacing w:before="100" w:beforeAutospacing="1" w:after="100" w:afterAutospacing="1"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投标人代表签字：</w:t>
      </w:r>
    </w:p>
    <w:p w14:paraId="2F8F739D">
      <w:pPr>
        <w:tabs>
          <w:tab w:val="left" w:pos="5355"/>
        </w:tabs>
        <w:spacing w:before="100" w:beforeAutospacing="1" w:after="100" w:afterAutospacing="1"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t>日期：     年    月   日</w:t>
      </w:r>
    </w:p>
    <w:p w14:paraId="7CD37030">
      <w:pPr>
        <w:spacing w:line="360" w:lineRule="auto"/>
        <w:rPr>
          <w:rFonts w:hint="eastAsia" w:ascii="宋体" w:hAnsi="宋体" w:eastAsia="宋体" w:cs="宋体"/>
          <w:bCs/>
          <w:color w:val="auto"/>
          <w:sz w:val="24"/>
          <w:szCs w:val="24"/>
        </w:rPr>
      </w:pPr>
    </w:p>
    <w:p w14:paraId="2D7A253A">
      <w:pPr>
        <w:spacing w:line="360" w:lineRule="auto"/>
        <w:rPr>
          <w:rFonts w:hint="eastAsia" w:ascii="宋体" w:hAnsi="宋体" w:eastAsia="宋体" w:cs="宋体"/>
          <w:bCs/>
          <w:color w:val="auto"/>
          <w:kern w:val="28"/>
          <w:sz w:val="24"/>
          <w:szCs w:val="24"/>
        </w:rPr>
      </w:pPr>
      <w:r>
        <w:rPr>
          <w:rFonts w:hint="eastAsia" w:ascii="宋体" w:hAnsi="宋体" w:eastAsia="宋体" w:cs="宋体"/>
          <w:bCs/>
          <w:color w:val="auto"/>
          <w:sz w:val="24"/>
          <w:szCs w:val="24"/>
        </w:rPr>
        <w:br w:type="page"/>
      </w:r>
    </w:p>
    <w:p w14:paraId="716EE640">
      <w:pPr>
        <w:pStyle w:val="138"/>
        <w:spacing w:line="360" w:lineRule="auto"/>
        <w:rPr>
          <w:rFonts w:hint="eastAsia" w:ascii="宋体" w:hAnsi="宋体" w:eastAsia="宋体" w:cs="宋体"/>
          <w:bCs/>
          <w:color w:val="auto"/>
          <w:sz w:val="24"/>
          <w:szCs w:val="24"/>
        </w:rPr>
      </w:pPr>
    </w:p>
    <w:p w14:paraId="72718245">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四、资格承诺函</w:t>
      </w:r>
    </w:p>
    <w:p w14:paraId="17EE4244">
      <w:pPr>
        <w:pStyle w:val="123"/>
        <w:spacing w:line="360" w:lineRule="auto"/>
        <w:ind w:firstLine="480"/>
        <w:rPr>
          <w:rFonts w:hint="eastAsia" w:ascii="宋体" w:hAnsi="宋体" w:eastAsia="宋体" w:cs="宋体"/>
          <w:bCs/>
          <w:color w:val="auto"/>
          <w:sz w:val="24"/>
          <w:szCs w:val="24"/>
        </w:rPr>
      </w:pPr>
    </w:p>
    <w:p w14:paraId="637F170E">
      <w:pPr>
        <w:pStyle w:val="123"/>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致：（</w:t>
      </w:r>
      <w:r>
        <w:rPr>
          <w:rFonts w:hint="eastAsia" w:ascii="宋体" w:hAnsi="宋体" w:cs="宋体"/>
          <w:bCs/>
          <w:color w:val="auto"/>
          <w:sz w:val="24"/>
          <w:szCs w:val="24"/>
          <w:lang w:eastAsia="zh-CN"/>
        </w:rPr>
        <w:t>采购人</w:t>
      </w:r>
      <w:r>
        <w:rPr>
          <w:rFonts w:hint="eastAsia" w:ascii="宋体" w:hAnsi="宋体" w:eastAsia="宋体" w:cs="宋体"/>
          <w:bCs/>
          <w:color w:val="auto"/>
          <w:sz w:val="24"/>
          <w:szCs w:val="24"/>
        </w:rPr>
        <w:t>或采购代理机构）</w:t>
      </w:r>
    </w:p>
    <w:p w14:paraId="5493D8FC">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单位名称(自然人姓名):</w:t>
      </w:r>
    </w:p>
    <w:p w14:paraId="21B84D8D">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统一社会信用代码(自然人身份证号码):</w:t>
      </w:r>
    </w:p>
    <w:p w14:paraId="4F2A5CED">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法定代表人(负责人):</w:t>
      </w:r>
    </w:p>
    <w:p w14:paraId="2177AD1B">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联系地址和电话:</w:t>
      </w:r>
    </w:p>
    <w:p w14:paraId="7C6C1A94">
      <w:pPr>
        <w:pStyle w:val="123"/>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我单位(本人)自愿参加本次政府采购活动，严格遵守《中华人民共和国政府采购法》及相关法律法规，坚守公开、公平公正和诚实信用等原则，依法诚信经营，并郑重承诺:</w:t>
      </w:r>
    </w:p>
    <w:p w14:paraId="59773AEB">
      <w:pPr>
        <w:pStyle w:val="123"/>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一、我单位(本人)具备采购文件要求以及《中华人民共和国政府采购法》第二十二条规定的条件:</w:t>
      </w:r>
    </w:p>
    <w:p w14:paraId="3C00E6FC">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1.具有独立承担民事责任的能力;</w:t>
      </w:r>
    </w:p>
    <w:p w14:paraId="62867931">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2.具有良好的商业信誉和健全的财务会计制度;</w:t>
      </w:r>
    </w:p>
    <w:p w14:paraId="1AA14DF2">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3.具有履行合同所必需的设备和专业技术能力;</w:t>
      </w:r>
    </w:p>
    <w:p w14:paraId="79BE9F3F">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4.有依法缴纳税收和社会保障资金的良好记录;</w:t>
      </w:r>
    </w:p>
    <w:p w14:paraId="11AF6BC8">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5.参加政府采购活动前三年内，在经营活动中没有重大违法记录；</w:t>
      </w:r>
    </w:p>
    <w:p w14:paraId="5310528A">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6.法律、行政法规规定的其他条件。</w:t>
      </w:r>
    </w:p>
    <w:p w14:paraId="21EE281E">
      <w:pPr>
        <w:pStyle w:val="123"/>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二、不存在违反《中华人民共和国政府采购法实施条例》第十八条规定的“单位负责人为同一人或者存在直接控股、管理关系的不同</w:t>
      </w:r>
      <w:r>
        <w:rPr>
          <w:rFonts w:hint="eastAsia" w:ascii="宋体" w:hAnsi="宋体" w:eastAsia="宋体" w:cs="宋体"/>
          <w:bCs/>
          <w:color w:val="auto"/>
          <w:sz w:val="24"/>
          <w:szCs w:val="24"/>
          <w:lang w:eastAsia="zh-CN"/>
        </w:rPr>
        <w:t>承包人</w:t>
      </w:r>
      <w:r>
        <w:rPr>
          <w:rFonts w:hint="eastAsia" w:ascii="宋体" w:hAnsi="宋体" w:eastAsia="宋体" w:cs="宋体"/>
          <w:bCs/>
          <w:color w:val="auto"/>
          <w:sz w:val="24"/>
          <w:szCs w:val="24"/>
        </w:rPr>
        <w:t>，不得参加同一合同项下的政府采购活动。除单一来源采购项目外，为采购项目提供整体设计、规范编制或者项目管理、监理、检测等服务的</w:t>
      </w:r>
      <w:r>
        <w:rPr>
          <w:rFonts w:hint="eastAsia" w:ascii="宋体" w:hAnsi="宋体" w:eastAsia="宋体" w:cs="宋体"/>
          <w:bCs/>
          <w:color w:val="auto"/>
          <w:sz w:val="24"/>
          <w:szCs w:val="24"/>
          <w:lang w:eastAsia="zh-CN"/>
        </w:rPr>
        <w:t>承包人</w:t>
      </w:r>
      <w:r>
        <w:rPr>
          <w:rFonts w:hint="eastAsia" w:ascii="宋体" w:hAnsi="宋体" w:eastAsia="宋体" w:cs="宋体"/>
          <w:bCs/>
          <w:color w:val="auto"/>
          <w:sz w:val="24"/>
          <w:szCs w:val="24"/>
        </w:rPr>
        <w:t>，不得再参加该采购项目的其他采购活动”情形。</w:t>
      </w:r>
    </w:p>
    <w:p w14:paraId="268FC6EC">
      <w:pPr>
        <w:pStyle w:val="123"/>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6A0696E4">
      <w:pPr>
        <w:pStyle w:val="123"/>
        <w:spacing w:line="360" w:lineRule="auto"/>
        <w:ind w:firstLine="480"/>
        <w:jc w:val="right"/>
        <w:rPr>
          <w:rFonts w:hint="eastAsia" w:ascii="宋体" w:hAnsi="宋体" w:eastAsia="宋体" w:cs="宋体"/>
          <w:bCs/>
          <w:color w:val="auto"/>
          <w:sz w:val="24"/>
          <w:szCs w:val="24"/>
        </w:rPr>
      </w:pPr>
      <w:r>
        <w:rPr>
          <w:rFonts w:hint="eastAsia" w:ascii="宋体" w:hAnsi="宋体" w:eastAsia="宋体" w:cs="宋体"/>
          <w:bCs/>
          <w:color w:val="auto"/>
          <w:sz w:val="24"/>
          <w:szCs w:val="24"/>
          <w:lang w:eastAsia="zh-CN"/>
        </w:rPr>
        <w:t>承包人</w:t>
      </w:r>
      <w:r>
        <w:rPr>
          <w:rFonts w:hint="eastAsia" w:ascii="宋体" w:hAnsi="宋体" w:eastAsia="宋体" w:cs="宋体"/>
          <w:bCs/>
          <w:color w:val="auto"/>
          <w:sz w:val="24"/>
          <w:szCs w:val="24"/>
        </w:rPr>
        <w:t>：名称(单位公章):</w:t>
      </w:r>
    </w:p>
    <w:p w14:paraId="44013119">
      <w:pPr>
        <w:pStyle w:val="123"/>
        <w:spacing w:line="360" w:lineRule="auto"/>
        <w:ind w:firstLine="480"/>
        <w:jc w:val="right"/>
        <w:rPr>
          <w:rFonts w:hint="eastAsia" w:ascii="宋体" w:hAnsi="宋体" w:eastAsia="宋体" w:cs="宋体"/>
          <w:bCs/>
          <w:color w:val="auto"/>
          <w:sz w:val="24"/>
          <w:szCs w:val="24"/>
        </w:rPr>
      </w:pPr>
      <w:r>
        <w:rPr>
          <w:rFonts w:hint="eastAsia" w:ascii="宋体" w:hAnsi="宋体" w:eastAsia="宋体" w:cs="宋体"/>
          <w:bCs/>
          <w:color w:val="auto"/>
          <w:sz w:val="24"/>
          <w:szCs w:val="24"/>
        </w:rPr>
        <w:t>日期：　　年　　月　　日</w:t>
      </w:r>
    </w:p>
    <w:p w14:paraId="780B82CE">
      <w:pPr>
        <w:pStyle w:val="123"/>
        <w:spacing w:line="360" w:lineRule="auto"/>
        <w:ind w:firstLine="480"/>
        <w:rPr>
          <w:rFonts w:hint="eastAsia" w:ascii="宋体" w:hAnsi="宋体" w:eastAsia="宋体" w:cs="宋体"/>
          <w:bCs/>
          <w:color w:val="auto"/>
          <w:sz w:val="24"/>
          <w:szCs w:val="24"/>
        </w:rPr>
      </w:pPr>
      <w:r>
        <w:rPr>
          <w:rFonts w:hint="eastAsia" w:ascii="宋体" w:hAnsi="宋体" w:eastAsia="宋体" w:cs="宋体"/>
          <w:bCs/>
          <w:color w:val="auto"/>
          <w:sz w:val="24"/>
          <w:szCs w:val="24"/>
        </w:rPr>
        <w:t>注：</w:t>
      </w:r>
    </w:p>
    <w:p w14:paraId="4517A435">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1.我单位(本人)专指参加政府采购活动的</w:t>
      </w:r>
      <w:r>
        <w:rPr>
          <w:rFonts w:hint="eastAsia" w:ascii="宋体" w:hAnsi="宋体" w:eastAsia="宋体" w:cs="宋体"/>
          <w:bCs/>
          <w:color w:val="auto"/>
          <w:sz w:val="24"/>
          <w:szCs w:val="24"/>
          <w:lang w:eastAsia="zh-CN"/>
        </w:rPr>
        <w:t>承包人</w:t>
      </w:r>
      <w:r>
        <w:rPr>
          <w:rFonts w:hint="eastAsia" w:ascii="宋体" w:hAnsi="宋体" w:eastAsia="宋体" w:cs="宋体"/>
          <w:bCs/>
          <w:color w:val="auto"/>
          <w:sz w:val="24"/>
          <w:szCs w:val="24"/>
        </w:rPr>
        <w:t>(含自然人)；</w:t>
      </w:r>
    </w:p>
    <w:p w14:paraId="3A8E9AD1">
      <w:pPr>
        <w:pStyle w:val="123"/>
        <w:spacing w:line="360" w:lineRule="auto"/>
        <w:ind w:firstLine="960"/>
        <w:rPr>
          <w:rFonts w:hint="eastAsia" w:ascii="宋体" w:hAnsi="宋体" w:eastAsia="宋体" w:cs="宋体"/>
          <w:bCs/>
          <w:color w:val="auto"/>
          <w:sz w:val="24"/>
          <w:szCs w:val="24"/>
        </w:rPr>
      </w:pPr>
      <w:r>
        <w:rPr>
          <w:rFonts w:hint="eastAsia" w:ascii="宋体" w:hAnsi="宋体" w:eastAsia="宋体" w:cs="宋体"/>
          <w:bCs/>
          <w:color w:val="auto"/>
          <w:sz w:val="24"/>
          <w:szCs w:val="24"/>
        </w:rPr>
        <w:t>2.资格承诺的</w:t>
      </w:r>
      <w:r>
        <w:rPr>
          <w:rFonts w:hint="eastAsia" w:ascii="宋体" w:hAnsi="宋体" w:eastAsia="宋体" w:cs="宋体"/>
          <w:bCs/>
          <w:color w:val="auto"/>
          <w:sz w:val="24"/>
          <w:szCs w:val="24"/>
          <w:lang w:eastAsia="zh-CN"/>
        </w:rPr>
        <w:t>承包人</w:t>
      </w:r>
      <w:r>
        <w:rPr>
          <w:rFonts w:hint="eastAsia" w:ascii="宋体" w:hAnsi="宋体" w:eastAsia="宋体" w:cs="宋体"/>
          <w:bCs/>
          <w:color w:val="auto"/>
          <w:sz w:val="24"/>
          <w:szCs w:val="24"/>
        </w:rPr>
        <w:t>应在投标(响应)文件中按此模板提供承诺函，否则，视为未按照招标文件规定提交投标人的资格及资信文件，按资格审查不通过处理。</w:t>
      </w:r>
    </w:p>
    <w:p w14:paraId="547E0B36">
      <w:pPr>
        <w:spacing w:line="360" w:lineRule="auto"/>
        <w:rPr>
          <w:rFonts w:hint="eastAsia" w:ascii="宋体" w:hAnsi="宋体" w:eastAsia="宋体" w:cs="宋体"/>
          <w:bCs/>
          <w:color w:val="auto"/>
          <w:sz w:val="24"/>
          <w:szCs w:val="24"/>
        </w:rPr>
      </w:pPr>
    </w:p>
    <w:p w14:paraId="26B4CB8E">
      <w:pPr>
        <w:spacing w:line="360" w:lineRule="auto"/>
        <w:rPr>
          <w:rFonts w:hint="eastAsia" w:ascii="宋体" w:hAnsi="宋体" w:eastAsia="宋体" w:cs="宋体"/>
          <w:bCs/>
          <w:color w:val="auto"/>
          <w:sz w:val="24"/>
          <w:szCs w:val="24"/>
        </w:rPr>
      </w:pPr>
      <w:r>
        <w:rPr>
          <w:rFonts w:hint="eastAsia" w:ascii="宋体" w:hAnsi="宋体" w:eastAsia="宋体" w:cs="宋体"/>
          <w:bCs/>
          <w:color w:val="auto"/>
          <w:sz w:val="24"/>
          <w:szCs w:val="24"/>
        </w:rPr>
        <w:br w:type="page"/>
      </w:r>
    </w:p>
    <w:p w14:paraId="63E77B44">
      <w:pPr>
        <w:spacing w:line="360" w:lineRule="auto"/>
        <w:rPr>
          <w:rFonts w:hint="eastAsia" w:ascii="宋体" w:hAnsi="宋体" w:eastAsia="宋体" w:cs="宋体"/>
          <w:bCs/>
          <w:color w:val="auto"/>
          <w:sz w:val="24"/>
          <w:szCs w:val="24"/>
        </w:rPr>
      </w:pPr>
    </w:p>
    <w:p w14:paraId="4F63868D">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五、投标方案</w:t>
      </w:r>
    </w:p>
    <w:p w14:paraId="7B35DC7F">
      <w:pPr>
        <w:pStyle w:val="138"/>
        <w:spacing w:line="360" w:lineRule="auto"/>
        <w:rPr>
          <w:rFonts w:hint="eastAsia" w:ascii="宋体" w:hAnsi="宋体" w:eastAsia="宋体" w:cs="宋体"/>
          <w:bCs/>
          <w:color w:val="auto"/>
          <w:sz w:val="24"/>
          <w:szCs w:val="24"/>
        </w:rPr>
      </w:pPr>
    </w:p>
    <w:p w14:paraId="6709A50C">
      <w:pPr>
        <w:pStyle w:val="138"/>
        <w:spacing w:line="360" w:lineRule="auto"/>
        <w:rPr>
          <w:rFonts w:hint="eastAsia" w:ascii="宋体" w:hAnsi="宋体" w:eastAsia="宋体" w:cs="宋体"/>
          <w:bCs/>
          <w:color w:val="auto"/>
          <w:sz w:val="24"/>
          <w:szCs w:val="24"/>
        </w:rPr>
      </w:pPr>
    </w:p>
    <w:p w14:paraId="324CFDDD">
      <w:pPr>
        <w:pStyle w:val="138"/>
        <w:spacing w:line="360" w:lineRule="auto"/>
        <w:rPr>
          <w:rFonts w:hint="eastAsia" w:ascii="宋体" w:hAnsi="宋体" w:eastAsia="宋体" w:cs="宋体"/>
          <w:bCs/>
          <w:color w:val="auto"/>
          <w:sz w:val="24"/>
          <w:szCs w:val="24"/>
        </w:rPr>
      </w:pPr>
    </w:p>
    <w:p w14:paraId="3E642747">
      <w:pPr>
        <w:pStyle w:val="138"/>
        <w:spacing w:line="360" w:lineRule="auto"/>
        <w:rPr>
          <w:rFonts w:hint="eastAsia" w:ascii="宋体" w:hAnsi="宋体" w:eastAsia="宋体" w:cs="宋体"/>
          <w:bCs/>
          <w:color w:val="auto"/>
          <w:sz w:val="24"/>
          <w:szCs w:val="24"/>
        </w:rPr>
      </w:pPr>
    </w:p>
    <w:p w14:paraId="21D4A6C4">
      <w:pPr>
        <w:pStyle w:val="138"/>
        <w:spacing w:line="360" w:lineRule="auto"/>
        <w:rPr>
          <w:rFonts w:hint="eastAsia" w:ascii="宋体" w:hAnsi="宋体" w:eastAsia="宋体" w:cs="宋体"/>
          <w:bCs/>
          <w:color w:val="auto"/>
          <w:sz w:val="24"/>
          <w:szCs w:val="24"/>
        </w:rPr>
      </w:pPr>
    </w:p>
    <w:p w14:paraId="60604068">
      <w:pPr>
        <w:widowControl/>
        <w:spacing w:line="360" w:lineRule="auto"/>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br w:type="page"/>
      </w:r>
    </w:p>
    <w:p w14:paraId="6A5E9181">
      <w:pPr>
        <w:tabs>
          <w:tab w:val="left" w:pos="1600"/>
        </w:tabs>
        <w:spacing w:line="360" w:lineRule="auto"/>
        <w:ind w:left="330" w:firstLine="240"/>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六、投标人提交的其它材料</w:t>
      </w:r>
    </w:p>
    <w:p w14:paraId="3FD02E6A">
      <w:pPr>
        <w:spacing w:line="360" w:lineRule="auto"/>
        <w:jc w:val="center"/>
        <w:rPr>
          <w:rFonts w:hint="eastAsia" w:ascii="宋体" w:hAnsi="宋体" w:eastAsia="宋体" w:cs="宋体"/>
          <w:bCs/>
          <w:color w:val="auto"/>
          <w:sz w:val="24"/>
          <w:szCs w:val="24"/>
        </w:rPr>
      </w:pPr>
    </w:p>
    <w:sectPr>
      <w:footerReference r:id="rId3" w:type="default"/>
      <w:pgSz w:w="11906" w:h="16838"/>
      <w:pgMar w:top="1418" w:right="1418" w:bottom="1418"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Verdana">
    <w:panose1 w:val="020B0604030504040204"/>
    <w:charset w:val="00"/>
    <w:family w:val="swiss"/>
    <w:pitch w:val="default"/>
    <w:sig w:usb0="A00006FF" w:usb1="4000205B" w:usb2="00000010" w:usb3="00000000" w:csb0="2000019F" w:csb1="00000000"/>
  </w:font>
  <w:font w:name="ATC-51704ead7ea49ed1* + L-1-3">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font>
  <w:font w:name="长城仿宋">
    <w:altName w:val="黑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F1210">
    <w:pPr>
      <w:pStyle w:val="15"/>
      <w:jc w:val="center"/>
    </w:pPr>
    <w:r>
      <w:fldChar w:fldCharType="begin"/>
    </w:r>
    <w:r>
      <w:instrText xml:space="preserve"> PAGE   \* MERGEFORMAT </w:instrText>
    </w:r>
    <w:r>
      <w:fldChar w:fldCharType="separate"/>
    </w:r>
    <w:r>
      <w:rPr>
        <w:lang w:val="zh-CN"/>
      </w:rPr>
      <w:t>52</w:t>
    </w:r>
    <w:r>
      <w:rPr>
        <w:lang w:val="zh-CN"/>
      </w:rPr>
      <w:fldChar w:fldCharType="end"/>
    </w:r>
  </w:p>
  <w:p w14:paraId="623B7E63">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AFD241"/>
    <w:multiLevelType w:val="singleLevel"/>
    <w:tmpl w:val="C0AFD241"/>
    <w:lvl w:ilvl="0" w:tentative="0">
      <w:start w:val="1"/>
      <w:numFmt w:val="decimal"/>
      <w:lvlText w:val="%1."/>
      <w:lvlJc w:val="left"/>
      <w:pPr>
        <w:tabs>
          <w:tab w:val="left" w:pos="420"/>
        </w:tabs>
        <w:ind w:left="845" w:hanging="425"/>
      </w:pPr>
      <w:rPr>
        <w:rFonts w:hint="default"/>
      </w:rPr>
    </w:lvl>
  </w:abstractNum>
  <w:abstractNum w:abstractNumId="1">
    <w:nsid w:val="C285FA8F"/>
    <w:multiLevelType w:val="singleLevel"/>
    <w:tmpl w:val="C285FA8F"/>
    <w:lvl w:ilvl="0" w:tentative="0">
      <w:start w:val="1"/>
      <w:numFmt w:val="decimal"/>
      <w:lvlText w:val="%1."/>
      <w:lvlJc w:val="left"/>
      <w:pPr>
        <w:tabs>
          <w:tab w:val="left" w:pos="420"/>
        </w:tabs>
        <w:ind w:left="845" w:hanging="425"/>
      </w:pPr>
      <w:rPr>
        <w:rFonts w:hint="default"/>
      </w:rPr>
    </w:lvl>
  </w:abstractNum>
  <w:abstractNum w:abstractNumId="2">
    <w:nsid w:val="C4A5CE5C"/>
    <w:multiLevelType w:val="singleLevel"/>
    <w:tmpl w:val="C4A5CE5C"/>
    <w:lvl w:ilvl="0" w:tentative="0">
      <w:start w:val="1"/>
      <w:numFmt w:val="decimal"/>
      <w:lvlText w:val="%1."/>
      <w:lvlJc w:val="left"/>
      <w:pPr>
        <w:tabs>
          <w:tab w:val="left" w:pos="420"/>
        </w:tabs>
        <w:ind w:left="845" w:hanging="425"/>
      </w:pPr>
      <w:rPr>
        <w:rFonts w:hint="default"/>
      </w:rPr>
    </w:lvl>
  </w:abstractNum>
  <w:abstractNum w:abstractNumId="3">
    <w:nsid w:val="D276F292"/>
    <w:multiLevelType w:val="singleLevel"/>
    <w:tmpl w:val="D276F292"/>
    <w:lvl w:ilvl="0" w:tentative="0">
      <w:start w:val="1"/>
      <w:numFmt w:val="decimal"/>
      <w:suff w:val="nothing"/>
      <w:lvlText w:val="（%1）"/>
      <w:lvlJc w:val="left"/>
    </w:lvl>
  </w:abstractNum>
  <w:abstractNum w:abstractNumId="4">
    <w:nsid w:val="EAC2313F"/>
    <w:multiLevelType w:val="singleLevel"/>
    <w:tmpl w:val="EAC2313F"/>
    <w:lvl w:ilvl="0" w:tentative="0">
      <w:start w:val="1"/>
      <w:numFmt w:val="decimal"/>
      <w:lvlText w:val="%1."/>
      <w:lvlJc w:val="left"/>
      <w:pPr>
        <w:tabs>
          <w:tab w:val="left" w:pos="420"/>
        </w:tabs>
        <w:ind w:left="845" w:hanging="425"/>
      </w:pPr>
      <w:rPr>
        <w:rFonts w:hint="default"/>
      </w:rPr>
    </w:lvl>
  </w:abstractNum>
  <w:abstractNum w:abstractNumId="5">
    <w:nsid w:val="FDE1C892"/>
    <w:multiLevelType w:val="singleLevel"/>
    <w:tmpl w:val="FDE1C892"/>
    <w:lvl w:ilvl="0" w:tentative="0">
      <w:start w:val="1"/>
      <w:numFmt w:val="decimal"/>
      <w:lvlText w:val="%1."/>
      <w:lvlJc w:val="left"/>
      <w:pPr>
        <w:tabs>
          <w:tab w:val="left" w:pos="420"/>
        </w:tabs>
        <w:ind w:left="845" w:hanging="425"/>
      </w:pPr>
      <w:rPr>
        <w:rFonts w:hint="default"/>
      </w:rPr>
    </w:lvl>
  </w:abstractNum>
  <w:abstractNum w:abstractNumId="6">
    <w:nsid w:val="00000002"/>
    <w:multiLevelType w:val="multilevel"/>
    <w:tmpl w:val="00000002"/>
    <w:lvl w:ilvl="0" w:tentative="0">
      <w:start w:val="1"/>
      <w:numFmt w:val="japaneseCounting"/>
      <w:lvlText w:val="%1、"/>
      <w:lvlJc w:val="left"/>
      <w:pPr>
        <w:tabs>
          <w:tab w:val="left" w:pos="420"/>
        </w:tabs>
        <w:ind w:left="420" w:hanging="420"/>
      </w:pPr>
      <w:rPr>
        <w:lang w:val="en-US"/>
      </w:rPr>
    </w:lvl>
    <w:lvl w:ilvl="1" w:tentative="0">
      <w:start w:val="1"/>
      <w:numFmt w:val="lowerLetter"/>
      <w:lvlText w:val="%2)"/>
      <w:lvlJc w:val="left"/>
      <w:pPr>
        <w:tabs>
          <w:tab w:val="left" w:pos="840"/>
        </w:tabs>
        <w:ind w:left="840" w:hanging="420"/>
      </w:pPr>
    </w:lvl>
    <w:lvl w:ilvl="2" w:tentative="0">
      <w:start w:val="1"/>
      <w:numFmt w:val="lowerRoman"/>
      <w:pStyle w:val="90"/>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197F09D"/>
    <w:multiLevelType w:val="singleLevel"/>
    <w:tmpl w:val="0197F09D"/>
    <w:lvl w:ilvl="0" w:tentative="0">
      <w:start w:val="1"/>
      <w:numFmt w:val="decimal"/>
      <w:suff w:val="nothing"/>
      <w:lvlText w:val="（%1）"/>
      <w:lvlJc w:val="left"/>
    </w:lvl>
  </w:abstractNum>
  <w:abstractNum w:abstractNumId="8">
    <w:nsid w:val="1A624929"/>
    <w:multiLevelType w:val="multilevel"/>
    <w:tmpl w:val="1A624929"/>
    <w:lvl w:ilvl="0" w:tentative="0">
      <w:start w:val="1"/>
      <w:numFmt w:val="decimal"/>
      <w:lvlText w:val="%1."/>
      <w:lvlJc w:val="left"/>
      <w:pPr>
        <w:ind w:left="995" w:hanging="440"/>
      </w:pPr>
    </w:lvl>
    <w:lvl w:ilvl="1" w:tentative="0">
      <w:start w:val="1"/>
      <w:numFmt w:val="lowerLetter"/>
      <w:lvlText w:val="%2)"/>
      <w:lvlJc w:val="left"/>
      <w:pPr>
        <w:ind w:left="1435" w:hanging="440"/>
      </w:pPr>
    </w:lvl>
    <w:lvl w:ilvl="2" w:tentative="0">
      <w:start w:val="1"/>
      <w:numFmt w:val="lowerRoman"/>
      <w:lvlText w:val="%3."/>
      <w:lvlJc w:val="right"/>
      <w:pPr>
        <w:ind w:left="1875" w:hanging="440"/>
      </w:pPr>
    </w:lvl>
    <w:lvl w:ilvl="3" w:tentative="0">
      <w:start w:val="1"/>
      <w:numFmt w:val="decimal"/>
      <w:lvlText w:val="%4."/>
      <w:lvlJc w:val="left"/>
      <w:pPr>
        <w:ind w:left="2315" w:hanging="440"/>
      </w:pPr>
    </w:lvl>
    <w:lvl w:ilvl="4" w:tentative="0">
      <w:start w:val="1"/>
      <w:numFmt w:val="lowerLetter"/>
      <w:lvlText w:val="%5)"/>
      <w:lvlJc w:val="left"/>
      <w:pPr>
        <w:ind w:left="2755" w:hanging="440"/>
      </w:pPr>
    </w:lvl>
    <w:lvl w:ilvl="5" w:tentative="0">
      <w:start w:val="1"/>
      <w:numFmt w:val="lowerRoman"/>
      <w:lvlText w:val="%6."/>
      <w:lvlJc w:val="right"/>
      <w:pPr>
        <w:ind w:left="3195" w:hanging="440"/>
      </w:pPr>
    </w:lvl>
    <w:lvl w:ilvl="6" w:tentative="0">
      <w:start w:val="1"/>
      <w:numFmt w:val="decimal"/>
      <w:lvlText w:val="%7."/>
      <w:lvlJc w:val="left"/>
      <w:pPr>
        <w:ind w:left="3635" w:hanging="440"/>
      </w:pPr>
    </w:lvl>
    <w:lvl w:ilvl="7" w:tentative="0">
      <w:start w:val="1"/>
      <w:numFmt w:val="lowerLetter"/>
      <w:lvlText w:val="%8)"/>
      <w:lvlJc w:val="left"/>
      <w:pPr>
        <w:ind w:left="4075" w:hanging="440"/>
      </w:pPr>
    </w:lvl>
    <w:lvl w:ilvl="8" w:tentative="0">
      <w:start w:val="1"/>
      <w:numFmt w:val="lowerRoman"/>
      <w:lvlText w:val="%9."/>
      <w:lvlJc w:val="right"/>
      <w:pPr>
        <w:ind w:left="4515" w:hanging="440"/>
      </w:pPr>
    </w:lvl>
  </w:abstractNum>
  <w:abstractNum w:abstractNumId="9">
    <w:nsid w:val="232449C9"/>
    <w:multiLevelType w:val="multilevel"/>
    <w:tmpl w:val="232449C9"/>
    <w:lvl w:ilvl="0" w:tentative="0">
      <w:start w:val="1"/>
      <w:numFmt w:val="decimal"/>
      <w:lvlText w:val="%1."/>
      <w:lvlJc w:val="left"/>
      <w:pPr>
        <w:ind w:left="995" w:hanging="440"/>
      </w:pPr>
    </w:lvl>
    <w:lvl w:ilvl="1" w:tentative="0">
      <w:start w:val="1"/>
      <w:numFmt w:val="lowerLetter"/>
      <w:lvlText w:val="%2)"/>
      <w:lvlJc w:val="left"/>
      <w:pPr>
        <w:ind w:left="1435" w:hanging="440"/>
      </w:pPr>
    </w:lvl>
    <w:lvl w:ilvl="2" w:tentative="0">
      <w:start w:val="1"/>
      <w:numFmt w:val="lowerRoman"/>
      <w:lvlText w:val="%3."/>
      <w:lvlJc w:val="right"/>
      <w:pPr>
        <w:ind w:left="1875" w:hanging="440"/>
      </w:pPr>
    </w:lvl>
    <w:lvl w:ilvl="3" w:tentative="0">
      <w:start w:val="1"/>
      <w:numFmt w:val="decimal"/>
      <w:lvlText w:val="%4."/>
      <w:lvlJc w:val="left"/>
      <w:pPr>
        <w:ind w:left="2315" w:hanging="440"/>
      </w:pPr>
    </w:lvl>
    <w:lvl w:ilvl="4" w:tentative="0">
      <w:start w:val="1"/>
      <w:numFmt w:val="lowerLetter"/>
      <w:lvlText w:val="%5)"/>
      <w:lvlJc w:val="left"/>
      <w:pPr>
        <w:ind w:left="2755" w:hanging="440"/>
      </w:pPr>
    </w:lvl>
    <w:lvl w:ilvl="5" w:tentative="0">
      <w:start w:val="1"/>
      <w:numFmt w:val="lowerRoman"/>
      <w:lvlText w:val="%6."/>
      <w:lvlJc w:val="right"/>
      <w:pPr>
        <w:ind w:left="3195" w:hanging="440"/>
      </w:pPr>
    </w:lvl>
    <w:lvl w:ilvl="6" w:tentative="0">
      <w:start w:val="1"/>
      <w:numFmt w:val="decimal"/>
      <w:lvlText w:val="%7."/>
      <w:lvlJc w:val="left"/>
      <w:pPr>
        <w:ind w:left="3635" w:hanging="440"/>
      </w:pPr>
    </w:lvl>
    <w:lvl w:ilvl="7" w:tentative="0">
      <w:start w:val="1"/>
      <w:numFmt w:val="lowerLetter"/>
      <w:lvlText w:val="%8)"/>
      <w:lvlJc w:val="left"/>
      <w:pPr>
        <w:ind w:left="4075" w:hanging="440"/>
      </w:pPr>
    </w:lvl>
    <w:lvl w:ilvl="8" w:tentative="0">
      <w:start w:val="1"/>
      <w:numFmt w:val="lowerRoman"/>
      <w:lvlText w:val="%9."/>
      <w:lvlJc w:val="right"/>
      <w:pPr>
        <w:ind w:left="4515" w:hanging="440"/>
      </w:pPr>
    </w:lvl>
  </w:abstractNum>
  <w:abstractNum w:abstractNumId="10">
    <w:nsid w:val="27ED590C"/>
    <w:multiLevelType w:val="multilevel"/>
    <w:tmpl w:val="27ED590C"/>
    <w:lvl w:ilvl="0" w:tentative="0">
      <w:start w:val="1"/>
      <w:numFmt w:val="decimal"/>
      <w:lvlText w:val="%1."/>
      <w:lvlJc w:val="left"/>
      <w:pPr>
        <w:ind w:left="995" w:hanging="440"/>
      </w:pPr>
    </w:lvl>
    <w:lvl w:ilvl="1" w:tentative="0">
      <w:start w:val="1"/>
      <w:numFmt w:val="lowerLetter"/>
      <w:lvlText w:val="%2)"/>
      <w:lvlJc w:val="left"/>
      <w:pPr>
        <w:ind w:left="1435" w:hanging="440"/>
      </w:pPr>
    </w:lvl>
    <w:lvl w:ilvl="2" w:tentative="0">
      <w:start w:val="1"/>
      <w:numFmt w:val="lowerRoman"/>
      <w:lvlText w:val="%3."/>
      <w:lvlJc w:val="right"/>
      <w:pPr>
        <w:ind w:left="1875" w:hanging="440"/>
      </w:pPr>
    </w:lvl>
    <w:lvl w:ilvl="3" w:tentative="0">
      <w:start w:val="1"/>
      <w:numFmt w:val="decimal"/>
      <w:lvlText w:val="%4."/>
      <w:lvlJc w:val="left"/>
      <w:pPr>
        <w:ind w:left="2315" w:hanging="440"/>
      </w:pPr>
    </w:lvl>
    <w:lvl w:ilvl="4" w:tentative="0">
      <w:start w:val="1"/>
      <w:numFmt w:val="lowerLetter"/>
      <w:lvlText w:val="%5)"/>
      <w:lvlJc w:val="left"/>
      <w:pPr>
        <w:ind w:left="2755" w:hanging="440"/>
      </w:pPr>
    </w:lvl>
    <w:lvl w:ilvl="5" w:tentative="0">
      <w:start w:val="1"/>
      <w:numFmt w:val="lowerRoman"/>
      <w:lvlText w:val="%6."/>
      <w:lvlJc w:val="right"/>
      <w:pPr>
        <w:ind w:left="3195" w:hanging="440"/>
      </w:pPr>
    </w:lvl>
    <w:lvl w:ilvl="6" w:tentative="0">
      <w:start w:val="1"/>
      <w:numFmt w:val="decimal"/>
      <w:lvlText w:val="%7."/>
      <w:lvlJc w:val="left"/>
      <w:pPr>
        <w:ind w:left="3635" w:hanging="440"/>
      </w:pPr>
    </w:lvl>
    <w:lvl w:ilvl="7" w:tentative="0">
      <w:start w:val="1"/>
      <w:numFmt w:val="lowerLetter"/>
      <w:lvlText w:val="%8)"/>
      <w:lvlJc w:val="left"/>
      <w:pPr>
        <w:ind w:left="4075" w:hanging="440"/>
      </w:pPr>
    </w:lvl>
    <w:lvl w:ilvl="8" w:tentative="0">
      <w:start w:val="1"/>
      <w:numFmt w:val="lowerRoman"/>
      <w:lvlText w:val="%9."/>
      <w:lvlJc w:val="right"/>
      <w:pPr>
        <w:ind w:left="4515" w:hanging="440"/>
      </w:pPr>
    </w:lvl>
  </w:abstractNum>
  <w:num w:numId="1">
    <w:abstractNumId w:val="6"/>
  </w:num>
  <w:num w:numId="2">
    <w:abstractNumId w:val="9"/>
  </w:num>
  <w:num w:numId="3">
    <w:abstractNumId w:val="8"/>
  </w:num>
  <w:num w:numId="4">
    <w:abstractNumId w:val="10"/>
  </w:num>
  <w:num w:numId="5">
    <w:abstractNumId w:val="0"/>
  </w:num>
  <w:num w:numId="6">
    <w:abstractNumId w:val="4"/>
  </w:num>
  <w:num w:numId="7">
    <w:abstractNumId w:val="5"/>
  </w:num>
  <w:num w:numId="8">
    <w:abstractNumId w:val="1"/>
  </w:num>
  <w:num w:numId="9">
    <w:abstractNumId w:val="2"/>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hhZDc0ZDVhODA3MDdiZGVmNDExODQwNjJjZmVlNmQifQ=="/>
    <w:docVar w:name="KSO_WPS_MARK_KEY" w:val="39a7aab7-87e0-4f73-8eed-40c0644b5b2d"/>
  </w:docVars>
  <w:rsids>
    <w:rsidRoot w:val="00886145"/>
    <w:rsid w:val="00000397"/>
    <w:rsid w:val="00005EBE"/>
    <w:rsid w:val="000107CE"/>
    <w:rsid w:val="0002027A"/>
    <w:rsid w:val="0002043A"/>
    <w:rsid w:val="0002687B"/>
    <w:rsid w:val="00027773"/>
    <w:rsid w:val="00031414"/>
    <w:rsid w:val="00033F60"/>
    <w:rsid w:val="0003779D"/>
    <w:rsid w:val="00042361"/>
    <w:rsid w:val="000434FE"/>
    <w:rsid w:val="00045B7D"/>
    <w:rsid w:val="000553C6"/>
    <w:rsid w:val="00063446"/>
    <w:rsid w:val="000635FF"/>
    <w:rsid w:val="00063FD5"/>
    <w:rsid w:val="000666E3"/>
    <w:rsid w:val="00073BFB"/>
    <w:rsid w:val="00073CC2"/>
    <w:rsid w:val="00076467"/>
    <w:rsid w:val="00080B65"/>
    <w:rsid w:val="0008456A"/>
    <w:rsid w:val="00094C68"/>
    <w:rsid w:val="000A00D5"/>
    <w:rsid w:val="000A29C2"/>
    <w:rsid w:val="000A370A"/>
    <w:rsid w:val="000A601C"/>
    <w:rsid w:val="000A7677"/>
    <w:rsid w:val="000B3DA2"/>
    <w:rsid w:val="000B4335"/>
    <w:rsid w:val="000B6894"/>
    <w:rsid w:val="000C4E31"/>
    <w:rsid w:val="000C5470"/>
    <w:rsid w:val="000C68C0"/>
    <w:rsid w:val="000C7017"/>
    <w:rsid w:val="000D5EDC"/>
    <w:rsid w:val="000F5645"/>
    <w:rsid w:val="000F5D2D"/>
    <w:rsid w:val="00101249"/>
    <w:rsid w:val="001028DD"/>
    <w:rsid w:val="00104693"/>
    <w:rsid w:val="00107AC9"/>
    <w:rsid w:val="00112D9C"/>
    <w:rsid w:val="001145A0"/>
    <w:rsid w:val="00121265"/>
    <w:rsid w:val="0014239F"/>
    <w:rsid w:val="001553AA"/>
    <w:rsid w:val="00155DB0"/>
    <w:rsid w:val="00161C4C"/>
    <w:rsid w:val="00162B54"/>
    <w:rsid w:val="00173680"/>
    <w:rsid w:val="0017681C"/>
    <w:rsid w:val="00180C3F"/>
    <w:rsid w:val="00181580"/>
    <w:rsid w:val="00182A9E"/>
    <w:rsid w:val="00183665"/>
    <w:rsid w:val="00183B34"/>
    <w:rsid w:val="00187BC9"/>
    <w:rsid w:val="00190A7A"/>
    <w:rsid w:val="00193D8E"/>
    <w:rsid w:val="0019437A"/>
    <w:rsid w:val="001A10B5"/>
    <w:rsid w:val="001A43C2"/>
    <w:rsid w:val="001A70A8"/>
    <w:rsid w:val="001B0FBF"/>
    <w:rsid w:val="001B232C"/>
    <w:rsid w:val="001B72F9"/>
    <w:rsid w:val="001C1384"/>
    <w:rsid w:val="001C5B23"/>
    <w:rsid w:val="001E0F4C"/>
    <w:rsid w:val="001E1234"/>
    <w:rsid w:val="001E1C60"/>
    <w:rsid w:val="001E1F4A"/>
    <w:rsid w:val="001E5310"/>
    <w:rsid w:val="001F066C"/>
    <w:rsid w:val="001F2F75"/>
    <w:rsid w:val="00204534"/>
    <w:rsid w:val="002076AC"/>
    <w:rsid w:val="00211471"/>
    <w:rsid w:val="0021206F"/>
    <w:rsid w:val="00216738"/>
    <w:rsid w:val="002320D6"/>
    <w:rsid w:val="002333C7"/>
    <w:rsid w:val="002340B5"/>
    <w:rsid w:val="002341D8"/>
    <w:rsid w:val="0023605C"/>
    <w:rsid w:val="00236A33"/>
    <w:rsid w:val="00236E7A"/>
    <w:rsid w:val="00237E8B"/>
    <w:rsid w:val="002513BC"/>
    <w:rsid w:val="0025693B"/>
    <w:rsid w:val="00260CA8"/>
    <w:rsid w:val="002713F1"/>
    <w:rsid w:val="00273DCA"/>
    <w:rsid w:val="00277D93"/>
    <w:rsid w:val="00280874"/>
    <w:rsid w:val="002814BF"/>
    <w:rsid w:val="00281A55"/>
    <w:rsid w:val="00281A59"/>
    <w:rsid w:val="00295A41"/>
    <w:rsid w:val="00296F03"/>
    <w:rsid w:val="002A01F1"/>
    <w:rsid w:val="002A1D6C"/>
    <w:rsid w:val="002A2DD6"/>
    <w:rsid w:val="002B2896"/>
    <w:rsid w:val="002B3850"/>
    <w:rsid w:val="002B38D5"/>
    <w:rsid w:val="002C5D80"/>
    <w:rsid w:val="002C6396"/>
    <w:rsid w:val="002D004A"/>
    <w:rsid w:val="002D33E6"/>
    <w:rsid w:val="002D4410"/>
    <w:rsid w:val="002D4D55"/>
    <w:rsid w:val="002E20F9"/>
    <w:rsid w:val="002E3FA8"/>
    <w:rsid w:val="002F0B78"/>
    <w:rsid w:val="00302944"/>
    <w:rsid w:val="00305697"/>
    <w:rsid w:val="0030611E"/>
    <w:rsid w:val="00321B19"/>
    <w:rsid w:val="003233CD"/>
    <w:rsid w:val="00323CE1"/>
    <w:rsid w:val="00324BE1"/>
    <w:rsid w:val="003250C8"/>
    <w:rsid w:val="0033015B"/>
    <w:rsid w:val="00331919"/>
    <w:rsid w:val="00332232"/>
    <w:rsid w:val="003355AA"/>
    <w:rsid w:val="00336353"/>
    <w:rsid w:val="00337F97"/>
    <w:rsid w:val="003432C7"/>
    <w:rsid w:val="003434F9"/>
    <w:rsid w:val="0035611A"/>
    <w:rsid w:val="00361095"/>
    <w:rsid w:val="003656BD"/>
    <w:rsid w:val="00372D18"/>
    <w:rsid w:val="00373679"/>
    <w:rsid w:val="00377384"/>
    <w:rsid w:val="00377BC9"/>
    <w:rsid w:val="00380153"/>
    <w:rsid w:val="00380D57"/>
    <w:rsid w:val="00386C2F"/>
    <w:rsid w:val="00395FD1"/>
    <w:rsid w:val="003A0C2A"/>
    <w:rsid w:val="003A4C9D"/>
    <w:rsid w:val="003A67D2"/>
    <w:rsid w:val="003A70B8"/>
    <w:rsid w:val="003B00AA"/>
    <w:rsid w:val="003B231A"/>
    <w:rsid w:val="003B5211"/>
    <w:rsid w:val="003C25C2"/>
    <w:rsid w:val="003D16E9"/>
    <w:rsid w:val="003E0EBE"/>
    <w:rsid w:val="003E6E19"/>
    <w:rsid w:val="003F4DAD"/>
    <w:rsid w:val="00403704"/>
    <w:rsid w:val="0040794D"/>
    <w:rsid w:val="00407DBB"/>
    <w:rsid w:val="0042331A"/>
    <w:rsid w:val="00424D0D"/>
    <w:rsid w:val="004250BF"/>
    <w:rsid w:val="00426931"/>
    <w:rsid w:val="004303D1"/>
    <w:rsid w:val="004313FE"/>
    <w:rsid w:val="004337D3"/>
    <w:rsid w:val="00434C05"/>
    <w:rsid w:val="00435ECB"/>
    <w:rsid w:val="004410C8"/>
    <w:rsid w:val="0044499A"/>
    <w:rsid w:val="004517F3"/>
    <w:rsid w:val="00457CC1"/>
    <w:rsid w:val="00467D40"/>
    <w:rsid w:val="00472B2C"/>
    <w:rsid w:val="00474648"/>
    <w:rsid w:val="00475AED"/>
    <w:rsid w:val="0048089F"/>
    <w:rsid w:val="00480FBB"/>
    <w:rsid w:val="00486187"/>
    <w:rsid w:val="004864D8"/>
    <w:rsid w:val="004942D0"/>
    <w:rsid w:val="00495DD2"/>
    <w:rsid w:val="004A07FF"/>
    <w:rsid w:val="004A4F4E"/>
    <w:rsid w:val="004A6A6D"/>
    <w:rsid w:val="004C02E5"/>
    <w:rsid w:val="004C4F00"/>
    <w:rsid w:val="004C5D23"/>
    <w:rsid w:val="004C6A29"/>
    <w:rsid w:val="004D2645"/>
    <w:rsid w:val="004D30CC"/>
    <w:rsid w:val="004F7B95"/>
    <w:rsid w:val="00502E17"/>
    <w:rsid w:val="005043A1"/>
    <w:rsid w:val="00512387"/>
    <w:rsid w:val="00522D86"/>
    <w:rsid w:val="00524C3B"/>
    <w:rsid w:val="00526241"/>
    <w:rsid w:val="00527A66"/>
    <w:rsid w:val="005349A3"/>
    <w:rsid w:val="0053758F"/>
    <w:rsid w:val="005409D2"/>
    <w:rsid w:val="005467A0"/>
    <w:rsid w:val="00553C14"/>
    <w:rsid w:val="00555238"/>
    <w:rsid w:val="005622E9"/>
    <w:rsid w:val="00566828"/>
    <w:rsid w:val="00566BAE"/>
    <w:rsid w:val="005762C9"/>
    <w:rsid w:val="00581EF3"/>
    <w:rsid w:val="00584028"/>
    <w:rsid w:val="00592546"/>
    <w:rsid w:val="0059350C"/>
    <w:rsid w:val="00594716"/>
    <w:rsid w:val="00595A6E"/>
    <w:rsid w:val="005A37EF"/>
    <w:rsid w:val="005A5F09"/>
    <w:rsid w:val="005A6BEA"/>
    <w:rsid w:val="005B5222"/>
    <w:rsid w:val="005B7C76"/>
    <w:rsid w:val="005C2F29"/>
    <w:rsid w:val="005D4322"/>
    <w:rsid w:val="005D54B1"/>
    <w:rsid w:val="005F2635"/>
    <w:rsid w:val="005F4C8F"/>
    <w:rsid w:val="005F6424"/>
    <w:rsid w:val="00605595"/>
    <w:rsid w:val="00615C5E"/>
    <w:rsid w:val="006210EC"/>
    <w:rsid w:val="006250C7"/>
    <w:rsid w:val="0063158E"/>
    <w:rsid w:val="00631D32"/>
    <w:rsid w:val="00632E4D"/>
    <w:rsid w:val="00633F85"/>
    <w:rsid w:val="00634318"/>
    <w:rsid w:val="006347BA"/>
    <w:rsid w:val="006347CB"/>
    <w:rsid w:val="006378CB"/>
    <w:rsid w:val="00641015"/>
    <w:rsid w:val="00642E0E"/>
    <w:rsid w:val="006567D5"/>
    <w:rsid w:val="006614AF"/>
    <w:rsid w:val="00663E58"/>
    <w:rsid w:val="0067432A"/>
    <w:rsid w:val="00675950"/>
    <w:rsid w:val="00675BE5"/>
    <w:rsid w:val="00677576"/>
    <w:rsid w:val="0068478C"/>
    <w:rsid w:val="00687C76"/>
    <w:rsid w:val="00691571"/>
    <w:rsid w:val="006A06C8"/>
    <w:rsid w:val="006A2FE7"/>
    <w:rsid w:val="006A63ED"/>
    <w:rsid w:val="006A6BC4"/>
    <w:rsid w:val="006B17F0"/>
    <w:rsid w:val="006C1977"/>
    <w:rsid w:val="006D0E3B"/>
    <w:rsid w:val="006E08FB"/>
    <w:rsid w:val="006F14F3"/>
    <w:rsid w:val="007022A3"/>
    <w:rsid w:val="00707E96"/>
    <w:rsid w:val="00717671"/>
    <w:rsid w:val="00722695"/>
    <w:rsid w:val="00727A18"/>
    <w:rsid w:val="00732984"/>
    <w:rsid w:val="0073726D"/>
    <w:rsid w:val="0073771E"/>
    <w:rsid w:val="007414AF"/>
    <w:rsid w:val="00752763"/>
    <w:rsid w:val="00755CE6"/>
    <w:rsid w:val="0075618E"/>
    <w:rsid w:val="007615D9"/>
    <w:rsid w:val="0076181D"/>
    <w:rsid w:val="00764E55"/>
    <w:rsid w:val="007676F6"/>
    <w:rsid w:val="00772EE6"/>
    <w:rsid w:val="007769C8"/>
    <w:rsid w:val="0078386A"/>
    <w:rsid w:val="00785C4E"/>
    <w:rsid w:val="007A16C8"/>
    <w:rsid w:val="007A232C"/>
    <w:rsid w:val="007A37FF"/>
    <w:rsid w:val="007A5E56"/>
    <w:rsid w:val="007B2D04"/>
    <w:rsid w:val="007B42C7"/>
    <w:rsid w:val="007B6119"/>
    <w:rsid w:val="007B6169"/>
    <w:rsid w:val="007D4704"/>
    <w:rsid w:val="007D4DE0"/>
    <w:rsid w:val="007D6175"/>
    <w:rsid w:val="007D6828"/>
    <w:rsid w:val="008049C5"/>
    <w:rsid w:val="00826CDC"/>
    <w:rsid w:val="00830D71"/>
    <w:rsid w:val="00832E4C"/>
    <w:rsid w:val="0083350C"/>
    <w:rsid w:val="0083509A"/>
    <w:rsid w:val="00853C94"/>
    <w:rsid w:val="008566EC"/>
    <w:rsid w:val="008642CA"/>
    <w:rsid w:val="00874D3E"/>
    <w:rsid w:val="00877CF4"/>
    <w:rsid w:val="00881C92"/>
    <w:rsid w:val="00883522"/>
    <w:rsid w:val="00885FE3"/>
    <w:rsid w:val="00886145"/>
    <w:rsid w:val="00891D0E"/>
    <w:rsid w:val="008A2B1E"/>
    <w:rsid w:val="008B1118"/>
    <w:rsid w:val="008B1490"/>
    <w:rsid w:val="008B14C5"/>
    <w:rsid w:val="008C0437"/>
    <w:rsid w:val="008C3094"/>
    <w:rsid w:val="008C3A1C"/>
    <w:rsid w:val="008C744F"/>
    <w:rsid w:val="008D560B"/>
    <w:rsid w:val="008D6DF8"/>
    <w:rsid w:val="008D7173"/>
    <w:rsid w:val="008E0DC7"/>
    <w:rsid w:val="008E19A6"/>
    <w:rsid w:val="008F0FD1"/>
    <w:rsid w:val="008F11CE"/>
    <w:rsid w:val="008F5D29"/>
    <w:rsid w:val="0090293E"/>
    <w:rsid w:val="009032D8"/>
    <w:rsid w:val="009261AB"/>
    <w:rsid w:val="009307C5"/>
    <w:rsid w:val="0093144C"/>
    <w:rsid w:val="0093246D"/>
    <w:rsid w:val="009350EF"/>
    <w:rsid w:val="00951DB7"/>
    <w:rsid w:val="00952B83"/>
    <w:rsid w:val="0096080D"/>
    <w:rsid w:val="0096276F"/>
    <w:rsid w:val="00964B5A"/>
    <w:rsid w:val="00967D66"/>
    <w:rsid w:val="0097052E"/>
    <w:rsid w:val="00976A75"/>
    <w:rsid w:val="009776D8"/>
    <w:rsid w:val="0098011D"/>
    <w:rsid w:val="009804CC"/>
    <w:rsid w:val="009846AB"/>
    <w:rsid w:val="00984BB2"/>
    <w:rsid w:val="00986E00"/>
    <w:rsid w:val="009C28C1"/>
    <w:rsid w:val="009C420A"/>
    <w:rsid w:val="009D0BD8"/>
    <w:rsid w:val="009E40A0"/>
    <w:rsid w:val="009E4383"/>
    <w:rsid w:val="009E493F"/>
    <w:rsid w:val="009E5DE2"/>
    <w:rsid w:val="009F0D4D"/>
    <w:rsid w:val="009F3021"/>
    <w:rsid w:val="009F41C2"/>
    <w:rsid w:val="00A07EE1"/>
    <w:rsid w:val="00A11259"/>
    <w:rsid w:val="00A125F2"/>
    <w:rsid w:val="00A17995"/>
    <w:rsid w:val="00A30F10"/>
    <w:rsid w:val="00A40DDF"/>
    <w:rsid w:val="00A45F95"/>
    <w:rsid w:val="00A47D41"/>
    <w:rsid w:val="00A50523"/>
    <w:rsid w:val="00A51181"/>
    <w:rsid w:val="00A518D2"/>
    <w:rsid w:val="00A66AB7"/>
    <w:rsid w:val="00A70F66"/>
    <w:rsid w:val="00A82D90"/>
    <w:rsid w:val="00A83C85"/>
    <w:rsid w:val="00A8464B"/>
    <w:rsid w:val="00A86333"/>
    <w:rsid w:val="00A923CB"/>
    <w:rsid w:val="00A95F29"/>
    <w:rsid w:val="00AA3FA5"/>
    <w:rsid w:val="00AA64E3"/>
    <w:rsid w:val="00AC5521"/>
    <w:rsid w:val="00AC6BAB"/>
    <w:rsid w:val="00AC7EDC"/>
    <w:rsid w:val="00AD1E23"/>
    <w:rsid w:val="00AD202D"/>
    <w:rsid w:val="00AD44B7"/>
    <w:rsid w:val="00AF1937"/>
    <w:rsid w:val="00AF2EFE"/>
    <w:rsid w:val="00AF61D6"/>
    <w:rsid w:val="00B027DB"/>
    <w:rsid w:val="00B0355A"/>
    <w:rsid w:val="00B0715F"/>
    <w:rsid w:val="00B11399"/>
    <w:rsid w:val="00B12500"/>
    <w:rsid w:val="00B17244"/>
    <w:rsid w:val="00B20710"/>
    <w:rsid w:val="00B24E33"/>
    <w:rsid w:val="00B261C2"/>
    <w:rsid w:val="00B268BD"/>
    <w:rsid w:val="00B3034B"/>
    <w:rsid w:val="00B304A0"/>
    <w:rsid w:val="00B3175D"/>
    <w:rsid w:val="00B454A1"/>
    <w:rsid w:val="00B53923"/>
    <w:rsid w:val="00B5475F"/>
    <w:rsid w:val="00B56229"/>
    <w:rsid w:val="00B726FA"/>
    <w:rsid w:val="00B72BAD"/>
    <w:rsid w:val="00B76D4E"/>
    <w:rsid w:val="00B80685"/>
    <w:rsid w:val="00B85AAF"/>
    <w:rsid w:val="00B94E41"/>
    <w:rsid w:val="00B95D0E"/>
    <w:rsid w:val="00BA6076"/>
    <w:rsid w:val="00BA6CF8"/>
    <w:rsid w:val="00BB7154"/>
    <w:rsid w:val="00BC0988"/>
    <w:rsid w:val="00BC3F91"/>
    <w:rsid w:val="00BC7882"/>
    <w:rsid w:val="00BC7972"/>
    <w:rsid w:val="00BD1198"/>
    <w:rsid w:val="00BD228C"/>
    <w:rsid w:val="00BD29FD"/>
    <w:rsid w:val="00BD505F"/>
    <w:rsid w:val="00BD5CF1"/>
    <w:rsid w:val="00BE2F54"/>
    <w:rsid w:val="00BE5A2F"/>
    <w:rsid w:val="00BE7671"/>
    <w:rsid w:val="00BF2F63"/>
    <w:rsid w:val="00BF38B8"/>
    <w:rsid w:val="00C06186"/>
    <w:rsid w:val="00C115E5"/>
    <w:rsid w:val="00C25F35"/>
    <w:rsid w:val="00C278AF"/>
    <w:rsid w:val="00C33134"/>
    <w:rsid w:val="00C418CB"/>
    <w:rsid w:val="00C447A6"/>
    <w:rsid w:val="00C450C9"/>
    <w:rsid w:val="00C47775"/>
    <w:rsid w:val="00C5537A"/>
    <w:rsid w:val="00C618CF"/>
    <w:rsid w:val="00C63CBD"/>
    <w:rsid w:val="00C81BFE"/>
    <w:rsid w:val="00C81DB2"/>
    <w:rsid w:val="00C92003"/>
    <w:rsid w:val="00C93200"/>
    <w:rsid w:val="00C971C0"/>
    <w:rsid w:val="00C9750A"/>
    <w:rsid w:val="00CA4876"/>
    <w:rsid w:val="00CA4D6E"/>
    <w:rsid w:val="00CA64C8"/>
    <w:rsid w:val="00CA6A88"/>
    <w:rsid w:val="00CB3BA1"/>
    <w:rsid w:val="00CB3BAC"/>
    <w:rsid w:val="00CB3DC3"/>
    <w:rsid w:val="00CC6F1B"/>
    <w:rsid w:val="00CD018E"/>
    <w:rsid w:val="00CD3B1E"/>
    <w:rsid w:val="00CD683C"/>
    <w:rsid w:val="00CD7691"/>
    <w:rsid w:val="00CE7AD8"/>
    <w:rsid w:val="00CF3F29"/>
    <w:rsid w:val="00D02626"/>
    <w:rsid w:val="00D05CEF"/>
    <w:rsid w:val="00D1057B"/>
    <w:rsid w:val="00D109C6"/>
    <w:rsid w:val="00D134F1"/>
    <w:rsid w:val="00D142AF"/>
    <w:rsid w:val="00D160BC"/>
    <w:rsid w:val="00D279B1"/>
    <w:rsid w:val="00D31FCA"/>
    <w:rsid w:val="00D32F2B"/>
    <w:rsid w:val="00D35CBB"/>
    <w:rsid w:val="00D40DF1"/>
    <w:rsid w:val="00D50EB5"/>
    <w:rsid w:val="00D51DF3"/>
    <w:rsid w:val="00D52AE1"/>
    <w:rsid w:val="00D72766"/>
    <w:rsid w:val="00D736DF"/>
    <w:rsid w:val="00D73DCF"/>
    <w:rsid w:val="00D84981"/>
    <w:rsid w:val="00D91B92"/>
    <w:rsid w:val="00D93CA9"/>
    <w:rsid w:val="00DA32AE"/>
    <w:rsid w:val="00DA7488"/>
    <w:rsid w:val="00DB1805"/>
    <w:rsid w:val="00DB496D"/>
    <w:rsid w:val="00DC208F"/>
    <w:rsid w:val="00DC7901"/>
    <w:rsid w:val="00DD3D4B"/>
    <w:rsid w:val="00DD58D3"/>
    <w:rsid w:val="00DE017F"/>
    <w:rsid w:val="00DE05C5"/>
    <w:rsid w:val="00DE19D8"/>
    <w:rsid w:val="00DE21E7"/>
    <w:rsid w:val="00DF247F"/>
    <w:rsid w:val="00E04F0F"/>
    <w:rsid w:val="00E24D82"/>
    <w:rsid w:val="00E31387"/>
    <w:rsid w:val="00E4205D"/>
    <w:rsid w:val="00E54531"/>
    <w:rsid w:val="00E57CB6"/>
    <w:rsid w:val="00E62467"/>
    <w:rsid w:val="00E6508D"/>
    <w:rsid w:val="00E7198F"/>
    <w:rsid w:val="00E74896"/>
    <w:rsid w:val="00E82682"/>
    <w:rsid w:val="00E83143"/>
    <w:rsid w:val="00E86820"/>
    <w:rsid w:val="00EA0826"/>
    <w:rsid w:val="00EA1569"/>
    <w:rsid w:val="00EA385D"/>
    <w:rsid w:val="00EB3E06"/>
    <w:rsid w:val="00EB7170"/>
    <w:rsid w:val="00EC15EB"/>
    <w:rsid w:val="00EC301A"/>
    <w:rsid w:val="00EC3C99"/>
    <w:rsid w:val="00ED2018"/>
    <w:rsid w:val="00ED3556"/>
    <w:rsid w:val="00ED61D5"/>
    <w:rsid w:val="00EE3A35"/>
    <w:rsid w:val="00EE4C9B"/>
    <w:rsid w:val="00EF25C0"/>
    <w:rsid w:val="00EF603D"/>
    <w:rsid w:val="00F01615"/>
    <w:rsid w:val="00F07530"/>
    <w:rsid w:val="00F11D93"/>
    <w:rsid w:val="00F15C22"/>
    <w:rsid w:val="00F21669"/>
    <w:rsid w:val="00F27330"/>
    <w:rsid w:val="00F30632"/>
    <w:rsid w:val="00F31CA8"/>
    <w:rsid w:val="00F65ED8"/>
    <w:rsid w:val="00F76A8D"/>
    <w:rsid w:val="00F7796A"/>
    <w:rsid w:val="00F813CC"/>
    <w:rsid w:val="00F8427A"/>
    <w:rsid w:val="00F90D95"/>
    <w:rsid w:val="00F96213"/>
    <w:rsid w:val="00FB4965"/>
    <w:rsid w:val="00FB7D3B"/>
    <w:rsid w:val="00FC453A"/>
    <w:rsid w:val="00FD1E91"/>
    <w:rsid w:val="00FD45E2"/>
    <w:rsid w:val="00FD7DCB"/>
    <w:rsid w:val="00FE0625"/>
    <w:rsid w:val="00FE5C3C"/>
    <w:rsid w:val="00FF12B6"/>
    <w:rsid w:val="00FF233A"/>
    <w:rsid w:val="00FF3190"/>
    <w:rsid w:val="0214738D"/>
    <w:rsid w:val="02CF7787"/>
    <w:rsid w:val="03960557"/>
    <w:rsid w:val="04654FC8"/>
    <w:rsid w:val="06FB2684"/>
    <w:rsid w:val="08384009"/>
    <w:rsid w:val="085A39AB"/>
    <w:rsid w:val="092A7575"/>
    <w:rsid w:val="09E813E1"/>
    <w:rsid w:val="0B296BEC"/>
    <w:rsid w:val="0C6F1945"/>
    <w:rsid w:val="0E0D71E1"/>
    <w:rsid w:val="112A6783"/>
    <w:rsid w:val="116B0E98"/>
    <w:rsid w:val="11D861DF"/>
    <w:rsid w:val="12772318"/>
    <w:rsid w:val="13645E45"/>
    <w:rsid w:val="138D267A"/>
    <w:rsid w:val="14DC71F6"/>
    <w:rsid w:val="156E1F11"/>
    <w:rsid w:val="15B632AE"/>
    <w:rsid w:val="15C9656A"/>
    <w:rsid w:val="171F770D"/>
    <w:rsid w:val="18866045"/>
    <w:rsid w:val="18893472"/>
    <w:rsid w:val="18956BD8"/>
    <w:rsid w:val="18C80EFD"/>
    <w:rsid w:val="18E5190D"/>
    <w:rsid w:val="192A5572"/>
    <w:rsid w:val="19457674"/>
    <w:rsid w:val="19540841"/>
    <w:rsid w:val="1A18361C"/>
    <w:rsid w:val="1A5C5102"/>
    <w:rsid w:val="1AB01AA7"/>
    <w:rsid w:val="1B1A0084"/>
    <w:rsid w:val="1CAF2A5C"/>
    <w:rsid w:val="1D187DD7"/>
    <w:rsid w:val="1D5E1C8E"/>
    <w:rsid w:val="1DAD0520"/>
    <w:rsid w:val="1DF17265"/>
    <w:rsid w:val="1E7B6BA9"/>
    <w:rsid w:val="1E8F74E9"/>
    <w:rsid w:val="1F360AB1"/>
    <w:rsid w:val="204F2924"/>
    <w:rsid w:val="20C523BC"/>
    <w:rsid w:val="21411658"/>
    <w:rsid w:val="23100DD6"/>
    <w:rsid w:val="24A44DB9"/>
    <w:rsid w:val="24B25D13"/>
    <w:rsid w:val="26336C3D"/>
    <w:rsid w:val="26E96D80"/>
    <w:rsid w:val="285C5932"/>
    <w:rsid w:val="288B5901"/>
    <w:rsid w:val="29C637FB"/>
    <w:rsid w:val="2AFC4894"/>
    <w:rsid w:val="2B4A7065"/>
    <w:rsid w:val="2E1A1903"/>
    <w:rsid w:val="2E4210C7"/>
    <w:rsid w:val="2E5E5FEE"/>
    <w:rsid w:val="2E8B0DCF"/>
    <w:rsid w:val="2FDD4C94"/>
    <w:rsid w:val="2FFFECC5"/>
    <w:rsid w:val="3018029D"/>
    <w:rsid w:val="30472499"/>
    <w:rsid w:val="322D3F26"/>
    <w:rsid w:val="32BB1432"/>
    <w:rsid w:val="341B0440"/>
    <w:rsid w:val="34A00986"/>
    <w:rsid w:val="34A61FCB"/>
    <w:rsid w:val="3553459F"/>
    <w:rsid w:val="36DA7420"/>
    <w:rsid w:val="37082884"/>
    <w:rsid w:val="38C07311"/>
    <w:rsid w:val="3A4C200A"/>
    <w:rsid w:val="3AD6437E"/>
    <w:rsid w:val="3DCD16D1"/>
    <w:rsid w:val="3EAE0B4C"/>
    <w:rsid w:val="3F914D2D"/>
    <w:rsid w:val="40721686"/>
    <w:rsid w:val="41DB77AE"/>
    <w:rsid w:val="42257C46"/>
    <w:rsid w:val="43124673"/>
    <w:rsid w:val="432509D4"/>
    <w:rsid w:val="437C1274"/>
    <w:rsid w:val="43EF33AB"/>
    <w:rsid w:val="43FD1DF1"/>
    <w:rsid w:val="44753296"/>
    <w:rsid w:val="44D520EA"/>
    <w:rsid w:val="452A1653"/>
    <w:rsid w:val="456A4DC4"/>
    <w:rsid w:val="456A62CB"/>
    <w:rsid w:val="463510CB"/>
    <w:rsid w:val="467B331C"/>
    <w:rsid w:val="48472FB5"/>
    <w:rsid w:val="48D12A65"/>
    <w:rsid w:val="49721D21"/>
    <w:rsid w:val="49751970"/>
    <w:rsid w:val="4A0E1A32"/>
    <w:rsid w:val="4A225BAC"/>
    <w:rsid w:val="4B3266DC"/>
    <w:rsid w:val="4C7A54CC"/>
    <w:rsid w:val="4F82113D"/>
    <w:rsid w:val="4F9363C6"/>
    <w:rsid w:val="4FEE65F2"/>
    <w:rsid w:val="500C197A"/>
    <w:rsid w:val="50442EA4"/>
    <w:rsid w:val="50493828"/>
    <w:rsid w:val="52504FE6"/>
    <w:rsid w:val="53A51570"/>
    <w:rsid w:val="53F46800"/>
    <w:rsid w:val="545128EE"/>
    <w:rsid w:val="56831893"/>
    <w:rsid w:val="585968D8"/>
    <w:rsid w:val="5B3E6E25"/>
    <w:rsid w:val="5BAFB454"/>
    <w:rsid w:val="5DD230AF"/>
    <w:rsid w:val="5FEC9F7B"/>
    <w:rsid w:val="6045400C"/>
    <w:rsid w:val="60FF67F3"/>
    <w:rsid w:val="61CA2A1B"/>
    <w:rsid w:val="62375CB8"/>
    <w:rsid w:val="626544F2"/>
    <w:rsid w:val="635C27BC"/>
    <w:rsid w:val="63FE776F"/>
    <w:rsid w:val="65A215B9"/>
    <w:rsid w:val="66343C12"/>
    <w:rsid w:val="66D355E7"/>
    <w:rsid w:val="6705215A"/>
    <w:rsid w:val="6B26157B"/>
    <w:rsid w:val="6B6D2669"/>
    <w:rsid w:val="6BBF88A9"/>
    <w:rsid w:val="6C86318F"/>
    <w:rsid w:val="6D77332B"/>
    <w:rsid w:val="6DDC7FBC"/>
    <w:rsid w:val="6E6E0DBB"/>
    <w:rsid w:val="70395112"/>
    <w:rsid w:val="70C0555C"/>
    <w:rsid w:val="723D0FE7"/>
    <w:rsid w:val="738C25A3"/>
    <w:rsid w:val="739E015D"/>
    <w:rsid w:val="75322959"/>
    <w:rsid w:val="78645700"/>
    <w:rsid w:val="78FC027F"/>
    <w:rsid w:val="79206F6D"/>
    <w:rsid w:val="798246BB"/>
    <w:rsid w:val="7994657A"/>
    <w:rsid w:val="7B1A5686"/>
    <w:rsid w:val="7C00467F"/>
    <w:rsid w:val="7CB8766C"/>
    <w:rsid w:val="7D82417F"/>
    <w:rsid w:val="7E4458C3"/>
    <w:rsid w:val="7E9D508B"/>
    <w:rsid w:val="7EA072A8"/>
    <w:rsid w:val="7F1F1F66"/>
    <w:rsid w:val="7FEFC35D"/>
    <w:rsid w:val="BD77E8DF"/>
    <w:rsid w:val="DFB727FD"/>
    <w:rsid w:val="F2BAC06C"/>
    <w:rsid w:val="F7F71D7D"/>
    <w:rsid w:val="FDBF5CC8"/>
    <w:rsid w:val="FEF90FB0"/>
    <w:rsid w:val="FFCD7CA9"/>
    <w:rsid w:val="FFECE1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9"/>
    <w:pPr>
      <w:keepNext/>
      <w:keepLines/>
      <w:spacing w:before="260" w:after="260" w:line="416" w:lineRule="auto"/>
      <w:outlineLvl w:val="2"/>
    </w:pPr>
    <w:rPr>
      <w:b/>
      <w:bCs/>
      <w:sz w:val="32"/>
      <w:szCs w:val="32"/>
    </w:rPr>
  </w:style>
  <w:style w:type="paragraph" w:styleId="5">
    <w:name w:val="heading 4"/>
    <w:basedOn w:val="1"/>
    <w:next w:val="1"/>
    <w:link w:val="37"/>
    <w:qFormat/>
    <w:uiPriority w:val="9"/>
    <w:pPr>
      <w:keepNext/>
      <w:keepLines/>
      <w:spacing w:before="280" w:after="290" w:line="376" w:lineRule="auto"/>
      <w:outlineLvl w:val="3"/>
    </w:pPr>
    <w:rPr>
      <w:rFonts w:ascii="Cambria" w:hAnsi="Cambria" w:cs="宋体"/>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132"/>
    <w:qFormat/>
    <w:uiPriority w:val="99"/>
    <w:pPr>
      <w:ind w:firstLine="420"/>
    </w:pPr>
    <w:rPr>
      <w:rFonts w:ascii="Calibri" w:hAnsi="Calibri"/>
      <w:szCs w:val="20"/>
    </w:rPr>
  </w:style>
  <w:style w:type="paragraph" w:styleId="7">
    <w:name w:val="Document Map"/>
    <w:basedOn w:val="1"/>
    <w:link w:val="81"/>
    <w:qFormat/>
    <w:uiPriority w:val="99"/>
    <w:rPr>
      <w:rFonts w:ascii="宋体" w:hAnsi="Calibri" w:cs="宋体"/>
      <w:sz w:val="18"/>
      <w:szCs w:val="18"/>
    </w:rPr>
  </w:style>
  <w:style w:type="paragraph" w:styleId="8">
    <w:name w:val="annotation text"/>
    <w:basedOn w:val="1"/>
    <w:link w:val="38"/>
    <w:qFormat/>
    <w:uiPriority w:val="0"/>
    <w:pPr>
      <w:jc w:val="left"/>
    </w:pPr>
  </w:style>
  <w:style w:type="paragraph" w:styleId="9">
    <w:name w:val="Body Text"/>
    <w:basedOn w:val="1"/>
    <w:link w:val="39"/>
    <w:qFormat/>
    <w:uiPriority w:val="0"/>
    <w:pPr>
      <w:spacing w:after="120"/>
    </w:pPr>
    <w:rPr>
      <w:rFonts w:ascii="Calibri" w:hAnsi="Calibri" w:cs="宋体"/>
    </w:rPr>
  </w:style>
  <w:style w:type="paragraph" w:styleId="10">
    <w:name w:val="Body Text Indent"/>
    <w:basedOn w:val="1"/>
    <w:link w:val="83"/>
    <w:qFormat/>
    <w:uiPriority w:val="99"/>
    <w:pPr>
      <w:spacing w:after="120"/>
      <w:ind w:left="420" w:leftChars="200"/>
    </w:pPr>
    <w:rPr>
      <w:rFonts w:ascii="Calibri" w:hAnsi="Calibri" w:cs="宋体"/>
    </w:rPr>
  </w:style>
  <w:style w:type="paragraph" w:styleId="11">
    <w:name w:val="Plain Text"/>
    <w:basedOn w:val="1"/>
    <w:link w:val="40"/>
    <w:qFormat/>
    <w:uiPriority w:val="0"/>
    <w:rPr>
      <w:rFonts w:ascii="宋体" w:hAnsi="Courier New"/>
    </w:rPr>
  </w:style>
  <w:style w:type="paragraph" w:styleId="12">
    <w:name w:val="Date"/>
    <w:basedOn w:val="1"/>
    <w:next w:val="1"/>
    <w:link w:val="41"/>
    <w:qFormat/>
    <w:uiPriority w:val="0"/>
    <w:pPr>
      <w:ind w:left="100" w:leftChars="2500"/>
    </w:pPr>
    <w:rPr>
      <w:rFonts w:ascii="隶书" w:eastAsia="隶书"/>
      <w:b/>
      <w:bCs/>
      <w:color w:val="000000"/>
      <w:sz w:val="36"/>
    </w:rPr>
  </w:style>
  <w:style w:type="paragraph" w:styleId="13">
    <w:name w:val="Body Text Indent 2"/>
    <w:basedOn w:val="1"/>
    <w:link w:val="42"/>
    <w:qFormat/>
    <w:uiPriority w:val="0"/>
    <w:pPr>
      <w:spacing w:after="120" w:line="480" w:lineRule="auto"/>
      <w:ind w:left="420" w:leftChars="200"/>
    </w:pPr>
  </w:style>
  <w:style w:type="paragraph" w:styleId="14">
    <w:name w:val="Balloon Text"/>
    <w:basedOn w:val="1"/>
    <w:link w:val="43"/>
    <w:qFormat/>
    <w:uiPriority w:val="99"/>
    <w:rPr>
      <w:sz w:val="18"/>
      <w:szCs w:val="18"/>
    </w:rPr>
  </w:style>
  <w:style w:type="paragraph" w:styleId="15">
    <w:name w:val="footer"/>
    <w:basedOn w:val="1"/>
    <w:link w:val="44"/>
    <w:qFormat/>
    <w:uiPriority w:val="99"/>
    <w:pPr>
      <w:tabs>
        <w:tab w:val="center" w:pos="4153"/>
        <w:tab w:val="right" w:pos="8306"/>
      </w:tabs>
      <w:snapToGrid w:val="0"/>
      <w:jc w:val="left"/>
    </w:pPr>
    <w:rPr>
      <w:sz w:val="18"/>
      <w:szCs w:val="18"/>
    </w:rPr>
  </w:style>
  <w:style w:type="paragraph" w:styleId="16">
    <w:name w:val="header"/>
    <w:basedOn w:val="1"/>
    <w:link w:val="45"/>
    <w:qFormat/>
    <w:uiPriority w:val="99"/>
    <w:pPr>
      <w:pBdr>
        <w:bottom w:val="single" w:color="auto" w:sz="6" w:space="1"/>
      </w:pBdr>
      <w:tabs>
        <w:tab w:val="center" w:pos="4153"/>
        <w:tab w:val="right" w:pos="8306"/>
      </w:tabs>
      <w:snapToGrid w:val="0"/>
      <w:jc w:val="center"/>
    </w:pPr>
    <w:rPr>
      <w:sz w:val="18"/>
      <w:szCs w:val="18"/>
    </w:rPr>
  </w:style>
  <w:style w:type="paragraph" w:styleId="17">
    <w:name w:val="Body Text 2"/>
    <w:basedOn w:val="1"/>
    <w:link w:val="137"/>
    <w:qFormat/>
    <w:uiPriority w:val="0"/>
    <w:pPr>
      <w:widowControl/>
      <w:adjustRightInd w:val="0"/>
      <w:snapToGrid w:val="0"/>
      <w:spacing w:after="120" w:line="480" w:lineRule="auto"/>
      <w:jc w:val="left"/>
    </w:pPr>
    <w:rPr>
      <w:rFonts w:ascii="Tahoma" w:hAnsi="Tahoma" w:eastAsia="微软雅黑"/>
      <w:kern w:val="0"/>
      <w:sz w:val="22"/>
      <w:szCs w:val="22"/>
    </w:rPr>
  </w:style>
  <w:style w:type="paragraph" w:styleId="18">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0">
    <w:name w:val="Title"/>
    <w:basedOn w:val="1"/>
    <w:link w:val="87"/>
    <w:qFormat/>
    <w:uiPriority w:val="0"/>
    <w:pPr>
      <w:jc w:val="center"/>
    </w:pPr>
    <w:rPr>
      <w:rFonts w:ascii="Calibri" w:hAnsi="Calibri" w:cs="宋体"/>
      <w:sz w:val="30"/>
      <w:szCs w:val="30"/>
    </w:rPr>
  </w:style>
  <w:style w:type="paragraph" w:styleId="21">
    <w:name w:val="annotation subject"/>
    <w:basedOn w:val="8"/>
    <w:next w:val="8"/>
    <w:link w:val="107"/>
    <w:qFormat/>
    <w:uiPriority w:val="99"/>
    <w:rPr>
      <w:b/>
      <w:bCs/>
    </w:rPr>
  </w:style>
  <w:style w:type="paragraph" w:styleId="22">
    <w:name w:val="Body Text First Indent"/>
    <w:basedOn w:val="9"/>
    <w:link w:val="86"/>
    <w:qFormat/>
    <w:uiPriority w:val="99"/>
    <w:pPr>
      <w:ind w:firstLine="420" w:firstLineChars="100"/>
    </w:pPr>
  </w:style>
  <w:style w:type="paragraph" w:styleId="23">
    <w:name w:val="Body Text First Indent 2"/>
    <w:basedOn w:val="10"/>
    <w:link w:val="113"/>
    <w:unhideWhenUsed/>
    <w:qFormat/>
    <w:uiPriority w:val="0"/>
    <w:pPr>
      <w:ind w:firstLine="420" w:firstLineChars="200"/>
    </w:pPr>
    <w:rPr>
      <w:rFonts w:ascii="Times New Roman" w:hAnsi="Times New Roman" w:cs="Times New Roman"/>
    </w:rPr>
  </w:style>
  <w:style w:type="table" w:styleId="25">
    <w:name w:val="Table Grid"/>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bCs/>
    </w:rPr>
  </w:style>
  <w:style w:type="character" w:styleId="28">
    <w:name w:val="page number"/>
    <w:basedOn w:val="26"/>
    <w:qFormat/>
    <w:uiPriority w:val="99"/>
  </w:style>
  <w:style w:type="character" w:styleId="29">
    <w:name w:val="Emphasis"/>
    <w:qFormat/>
    <w:uiPriority w:val="99"/>
    <w:rPr>
      <w:color w:val="CC0033"/>
    </w:rPr>
  </w:style>
  <w:style w:type="character" w:styleId="30">
    <w:name w:val="Hyperlink"/>
    <w:basedOn w:val="26"/>
    <w:qFormat/>
    <w:uiPriority w:val="99"/>
    <w:rPr>
      <w:color w:val="0000FF"/>
      <w:u w:val="single"/>
    </w:rPr>
  </w:style>
  <w:style w:type="character" w:styleId="31">
    <w:name w:val="annotation reference"/>
    <w:basedOn w:val="26"/>
    <w:qFormat/>
    <w:uiPriority w:val="0"/>
    <w:rPr>
      <w:sz w:val="21"/>
      <w:szCs w:val="21"/>
    </w:rPr>
  </w:style>
  <w:style w:type="paragraph" w:customStyle="1" w:styleId="32">
    <w:name w:val="Normal Indent1"/>
    <w:qFormat/>
    <w:uiPriority w:val="0"/>
    <w:pPr>
      <w:spacing w:afterLines="50" w:line="360" w:lineRule="auto"/>
      <w:ind w:firstLine="420" w:firstLineChars="200"/>
    </w:pPr>
    <w:rPr>
      <w:rFonts w:ascii="Calibri" w:hAnsi="Calibri" w:eastAsia="宋体" w:cs="Times New Roman"/>
      <w:lang w:val="en-US" w:eastAsia="zh-CN" w:bidi="ar-SA"/>
    </w:rPr>
  </w:style>
  <w:style w:type="paragraph" w:customStyle="1" w:styleId="33">
    <w:name w:val="样式 标题 3 + (中文) 黑体 小四 非加粗 段前: 7.8 磅 段后: 0 磅 行距: 固定值 20 磅"/>
    <w:basedOn w:val="4"/>
    <w:qFormat/>
    <w:uiPriority w:val="0"/>
    <w:pPr>
      <w:spacing w:before="0" w:after="0" w:line="400" w:lineRule="exact"/>
    </w:pPr>
    <w:rPr>
      <w:rFonts w:eastAsia="黑体" w:cs="宋体"/>
      <w:b w:val="0"/>
      <w:sz w:val="24"/>
      <w:szCs w:val="20"/>
    </w:rPr>
  </w:style>
  <w:style w:type="character" w:customStyle="1" w:styleId="34">
    <w:name w:val="标题 1 字符"/>
    <w:basedOn w:val="26"/>
    <w:link w:val="2"/>
    <w:qFormat/>
    <w:uiPriority w:val="9"/>
    <w:rPr>
      <w:rFonts w:ascii="Times New Roman" w:hAnsi="Times New Roman" w:eastAsia="宋体" w:cs="Times New Roman"/>
      <w:b/>
      <w:bCs/>
      <w:kern w:val="44"/>
      <w:sz w:val="44"/>
      <w:szCs w:val="44"/>
    </w:rPr>
  </w:style>
  <w:style w:type="character" w:customStyle="1" w:styleId="35">
    <w:name w:val="标题 2 字符"/>
    <w:basedOn w:val="26"/>
    <w:link w:val="3"/>
    <w:qFormat/>
    <w:uiPriority w:val="0"/>
    <w:rPr>
      <w:rFonts w:ascii="Arial" w:hAnsi="Arial" w:eastAsia="黑体" w:cs="Times New Roman"/>
      <w:b/>
      <w:bCs/>
      <w:sz w:val="32"/>
      <w:szCs w:val="32"/>
    </w:rPr>
  </w:style>
  <w:style w:type="character" w:customStyle="1" w:styleId="36">
    <w:name w:val="标题 3 字符"/>
    <w:basedOn w:val="26"/>
    <w:link w:val="4"/>
    <w:qFormat/>
    <w:uiPriority w:val="9"/>
    <w:rPr>
      <w:rFonts w:ascii="Times New Roman" w:hAnsi="Times New Roman" w:eastAsia="宋体" w:cs="Times New Roman"/>
      <w:b/>
      <w:bCs/>
      <w:sz w:val="32"/>
      <w:szCs w:val="32"/>
    </w:rPr>
  </w:style>
  <w:style w:type="character" w:customStyle="1" w:styleId="37">
    <w:name w:val="标题 4 字符"/>
    <w:basedOn w:val="26"/>
    <w:link w:val="5"/>
    <w:qFormat/>
    <w:uiPriority w:val="9"/>
    <w:rPr>
      <w:rFonts w:ascii="Cambria" w:hAnsi="Cambria" w:eastAsia="宋体" w:cs="宋体"/>
      <w:b/>
      <w:bCs/>
      <w:sz w:val="28"/>
      <w:szCs w:val="28"/>
    </w:rPr>
  </w:style>
  <w:style w:type="character" w:customStyle="1" w:styleId="38">
    <w:name w:val="批注文字 字符"/>
    <w:basedOn w:val="26"/>
    <w:link w:val="8"/>
    <w:qFormat/>
    <w:uiPriority w:val="0"/>
    <w:rPr>
      <w:rFonts w:ascii="Times New Roman" w:hAnsi="Times New Roman" w:eastAsia="宋体" w:cs="Times New Roman"/>
      <w:szCs w:val="24"/>
    </w:rPr>
  </w:style>
  <w:style w:type="character" w:customStyle="1" w:styleId="39">
    <w:name w:val="正文文本 字符"/>
    <w:basedOn w:val="26"/>
    <w:link w:val="9"/>
    <w:qFormat/>
    <w:uiPriority w:val="0"/>
    <w:rPr>
      <w:szCs w:val="24"/>
    </w:rPr>
  </w:style>
  <w:style w:type="character" w:customStyle="1" w:styleId="40">
    <w:name w:val="纯文本 字符"/>
    <w:basedOn w:val="26"/>
    <w:link w:val="11"/>
    <w:qFormat/>
    <w:uiPriority w:val="0"/>
    <w:rPr>
      <w:rFonts w:ascii="宋体" w:hAnsi="Courier New" w:eastAsia="宋体" w:cs="Times New Roman"/>
      <w:szCs w:val="24"/>
    </w:rPr>
  </w:style>
  <w:style w:type="character" w:customStyle="1" w:styleId="41">
    <w:name w:val="日期 字符"/>
    <w:basedOn w:val="26"/>
    <w:link w:val="12"/>
    <w:qFormat/>
    <w:uiPriority w:val="0"/>
    <w:rPr>
      <w:rFonts w:ascii="隶书" w:hAnsi="Times New Roman" w:eastAsia="隶书" w:cs="Times New Roman"/>
      <w:b/>
      <w:bCs/>
      <w:color w:val="000000"/>
      <w:sz w:val="36"/>
      <w:szCs w:val="24"/>
    </w:rPr>
  </w:style>
  <w:style w:type="character" w:customStyle="1" w:styleId="42">
    <w:name w:val="正文文本缩进 2 字符"/>
    <w:basedOn w:val="26"/>
    <w:link w:val="13"/>
    <w:qFormat/>
    <w:uiPriority w:val="0"/>
    <w:rPr>
      <w:rFonts w:ascii="Times New Roman" w:hAnsi="Times New Roman" w:eastAsia="宋体" w:cs="Times New Roman"/>
      <w:szCs w:val="24"/>
    </w:rPr>
  </w:style>
  <w:style w:type="character" w:customStyle="1" w:styleId="43">
    <w:name w:val="批注框文本 字符"/>
    <w:basedOn w:val="26"/>
    <w:link w:val="14"/>
    <w:qFormat/>
    <w:uiPriority w:val="99"/>
    <w:rPr>
      <w:rFonts w:ascii="Times New Roman" w:hAnsi="Times New Roman" w:eastAsia="宋体" w:cs="Times New Roman"/>
      <w:sz w:val="18"/>
      <w:szCs w:val="18"/>
    </w:rPr>
  </w:style>
  <w:style w:type="character" w:customStyle="1" w:styleId="44">
    <w:name w:val="页脚 字符"/>
    <w:basedOn w:val="26"/>
    <w:link w:val="15"/>
    <w:qFormat/>
    <w:uiPriority w:val="99"/>
    <w:rPr>
      <w:sz w:val="18"/>
      <w:szCs w:val="18"/>
    </w:rPr>
  </w:style>
  <w:style w:type="character" w:customStyle="1" w:styleId="45">
    <w:name w:val="页眉 字符"/>
    <w:basedOn w:val="26"/>
    <w:link w:val="16"/>
    <w:qFormat/>
    <w:uiPriority w:val="99"/>
    <w:rPr>
      <w:sz w:val="18"/>
      <w:szCs w:val="18"/>
    </w:rPr>
  </w:style>
  <w:style w:type="character" w:customStyle="1" w:styleId="46">
    <w:name w:val="纯文本 Char"/>
    <w:basedOn w:val="26"/>
    <w:qFormat/>
    <w:uiPriority w:val="99"/>
    <w:rPr>
      <w:rFonts w:ascii="宋体" w:hAnsi="Courier New" w:eastAsia="宋体" w:cs="Courier New"/>
      <w:szCs w:val="21"/>
    </w:rPr>
  </w:style>
  <w:style w:type="paragraph" w:customStyle="1" w:styleId="47">
    <w:name w:val="样式1"/>
    <w:basedOn w:val="1"/>
    <w:qFormat/>
    <w:uiPriority w:val="99"/>
    <w:pPr>
      <w:tabs>
        <w:tab w:val="left" w:pos="709"/>
        <w:tab w:val="left" w:pos="840"/>
      </w:tabs>
      <w:ind w:left="840" w:hanging="420"/>
    </w:pPr>
    <w:rPr>
      <w:rFonts w:ascii="宋体" w:hAnsi="宋体"/>
      <w:szCs w:val="20"/>
    </w:rPr>
  </w:style>
  <w:style w:type="paragraph" w:customStyle="1" w:styleId="48">
    <w:name w:val="样式 标题 2 + 宋体 五号 非加粗 黑色"/>
    <w:basedOn w:val="3"/>
    <w:qFormat/>
    <w:uiPriority w:val="0"/>
    <w:pPr>
      <w:spacing w:line="416" w:lineRule="atLeast"/>
      <w:ind w:left="709"/>
    </w:pPr>
    <w:rPr>
      <w:rFonts w:ascii="宋体" w:hAnsi="宋体" w:eastAsia="宋体"/>
      <w:b w:val="0"/>
      <w:bCs w:val="0"/>
      <w:color w:val="000000"/>
      <w:sz w:val="21"/>
    </w:rPr>
  </w:style>
  <w:style w:type="paragraph" w:customStyle="1" w:styleId="49">
    <w:name w:val="样式 标题 4 + 段前: 5 磅 段后: 5 磅 行距: 单倍行距"/>
    <w:basedOn w:val="5"/>
    <w:qFormat/>
    <w:uiPriority w:val="0"/>
    <w:pPr>
      <w:spacing w:before="100" w:after="100" w:line="240" w:lineRule="auto"/>
    </w:pPr>
    <w:rPr>
      <w:rFonts w:ascii="Arial" w:hAnsi="Arial" w:eastAsia="黑体"/>
      <w:szCs w:val="20"/>
    </w:rPr>
  </w:style>
  <w:style w:type="paragraph" w:customStyle="1" w:styleId="50">
    <w:name w:val="样式 标题 1 + 四号 居中 段前: 12 磅 段后: 12 磅 行距: 单倍行距"/>
    <w:basedOn w:val="2"/>
    <w:qFormat/>
    <w:uiPriority w:val="0"/>
    <w:pPr>
      <w:spacing w:before="240" w:after="240" w:line="240" w:lineRule="auto"/>
      <w:ind w:left="2406" w:firstLine="288"/>
      <w:jc w:val="center"/>
    </w:pPr>
    <w:rPr>
      <w:rFonts w:cs="宋体"/>
      <w:sz w:val="28"/>
      <w:szCs w:val="20"/>
    </w:rPr>
  </w:style>
  <w:style w:type="paragraph" w:customStyle="1" w:styleId="51">
    <w:name w:val="样式 标题 3h3H3sect1.2.3 + 五号 段前: 6 磅 段后: 6 磅 行距: 单倍行距"/>
    <w:basedOn w:val="4"/>
    <w:qFormat/>
    <w:uiPriority w:val="0"/>
    <w:pPr>
      <w:spacing w:before="120" w:after="120" w:line="240" w:lineRule="auto"/>
    </w:pPr>
    <w:rPr>
      <w:rFonts w:cs="宋体"/>
      <w:sz w:val="21"/>
      <w:szCs w:val="20"/>
    </w:rPr>
  </w:style>
  <w:style w:type="paragraph" w:customStyle="1" w:styleId="5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53">
    <w:name w:val="List Paragraph"/>
    <w:basedOn w:val="1"/>
    <w:link w:val="54"/>
    <w:qFormat/>
    <w:uiPriority w:val="99"/>
    <w:pPr>
      <w:ind w:firstLine="420" w:firstLineChars="200"/>
    </w:pPr>
    <w:rPr>
      <w:sz w:val="24"/>
    </w:rPr>
  </w:style>
  <w:style w:type="character" w:customStyle="1" w:styleId="54">
    <w:name w:val="列表段落 字符1"/>
    <w:link w:val="53"/>
    <w:qFormat/>
    <w:uiPriority w:val="99"/>
    <w:rPr>
      <w:rFonts w:ascii="Times New Roman" w:hAnsi="Times New Roman" w:eastAsia="宋体" w:cs="Times New Roman"/>
      <w:kern w:val="2"/>
      <w:sz w:val="24"/>
      <w:szCs w:val="24"/>
    </w:rPr>
  </w:style>
  <w:style w:type="paragraph" w:customStyle="1" w:styleId="55">
    <w:name w:val="列出段落1"/>
    <w:basedOn w:val="1"/>
    <w:qFormat/>
    <w:uiPriority w:val="0"/>
    <w:pPr>
      <w:ind w:firstLine="420" w:firstLineChars="200"/>
    </w:pPr>
    <w:rPr>
      <w:rFonts w:hAnsi="Arial Unicode MS" w:eastAsia="Times New Roman" w:cs="Arial Unicode MS"/>
      <w:color w:val="000000"/>
      <w:szCs w:val="21"/>
      <w:u w:color="000000"/>
    </w:rPr>
  </w:style>
  <w:style w:type="paragraph" w:customStyle="1" w:styleId="56">
    <w:name w:val="样式3"/>
    <w:basedOn w:val="11"/>
    <w:qFormat/>
    <w:uiPriority w:val="0"/>
    <w:pPr>
      <w:spacing w:line="0" w:lineRule="atLeast"/>
      <w:outlineLvl w:val="0"/>
    </w:pPr>
    <w:rPr>
      <w:kern w:val="0"/>
      <w:sz w:val="28"/>
    </w:rPr>
  </w:style>
  <w:style w:type="paragraph" w:customStyle="1" w:styleId="57">
    <w:name w:val="标3"/>
    <w:basedOn w:val="1"/>
    <w:qFormat/>
    <w:uiPriority w:val="0"/>
    <w:pPr>
      <w:tabs>
        <w:tab w:val="left" w:pos="360"/>
      </w:tabs>
      <w:adjustRightInd w:val="0"/>
      <w:snapToGrid w:val="0"/>
      <w:spacing w:before="50"/>
      <w:outlineLvl w:val="2"/>
    </w:pPr>
    <w:rPr>
      <w:rFonts w:ascii="Arial Narrow" w:hAnsi="Arial Narrow" w:eastAsia="仿宋_GB2312"/>
      <w:sz w:val="28"/>
    </w:rPr>
  </w:style>
  <w:style w:type="paragraph" w:customStyle="1" w:styleId="58">
    <w:name w:val="表头文本"/>
    <w:basedOn w:val="1"/>
    <w:qFormat/>
    <w:uiPriority w:val="0"/>
    <w:pPr>
      <w:autoSpaceDE w:val="0"/>
      <w:autoSpaceDN w:val="0"/>
      <w:adjustRightInd w:val="0"/>
      <w:jc w:val="center"/>
    </w:pPr>
    <w:rPr>
      <w:b/>
      <w:kern w:val="0"/>
      <w:sz w:val="24"/>
      <w:szCs w:val="20"/>
    </w:rPr>
  </w:style>
  <w:style w:type="character" w:customStyle="1" w:styleId="59">
    <w:name w:val="Body Text Indent 2 Char"/>
    <w:qFormat/>
    <w:uiPriority w:val="99"/>
    <w:rPr>
      <w:rFonts w:ascii="宋体" w:eastAsia="宋体" w:cs="Times New Roman"/>
      <w:kern w:val="2"/>
      <w:sz w:val="24"/>
      <w:lang w:val="en-US" w:eastAsia="zh-CN" w:bidi="ar-SA"/>
    </w:rPr>
  </w:style>
  <w:style w:type="character" w:customStyle="1" w:styleId="60">
    <w:name w:val="apple-converted-space"/>
    <w:basedOn w:val="26"/>
    <w:qFormat/>
    <w:uiPriority w:val="0"/>
  </w:style>
  <w:style w:type="character" w:customStyle="1" w:styleId="61">
    <w:name w:val="文档结构图 Char"/>
    <w:qFormat/>
    <w:uiPriority w:val="99"/>
    <w:rPr>
      <w:rFonts w:ascii="宋体" w:hAnsi="Calibri"/>
      <w:kern w:val="2"/>
      <w:sz w:val="18"/>
      <w:szCs w:val="18"/>
    </w:rPr>
  </w:style>
  <w:style w:type="character" w:customStyle="1" w:styleId="62">
    <w:name w:val="标题 Char"/>
    <w:qFormat/>
    <w:uiPriority w:val="0"/>
    <w:rPr>
      <w:kern w:val="2"/>
      <w:sz w:val="30"/>
      <w:szCs w:val="30"/>
    </w:rPr>
  </w:style>
  <w:style w:type="character" w:customStyle="1" w:styleId="63">
    <w:name w:val="mail_info_general_sender_wrapper"/>
    <w:basedOn w:val="26"/>
    <w:qFormat/>
    <w:uiPriority w:val="0"/>
  </w:style>
  <w:style w:type="character" w:customStyle="1" w:styleId="64">
    <w:name w:val="mail_info_general_sender1"/>
    <w:qFormat/>
    <w:uiPriority w:val="0"/>
    <w:rPr>
      <w:b/>
      <w:bCs/>
      <w:color w:val="000000"/>
      <w:sz w:val="20"/>
      <w:szCs w:val="20"/>
    </w:rPr>
  </w:style>
  <w:style w:type="character" w:customStyle="1" w:styleId="65">
    <w:name w:val="正文文本 (2)_"/>
    <w:link w:val="66"/>
    <w:qFormat/>
    <w:uiPriority w:val="0"/>
    <w:rPr>
      <w:rFonts w:ascii="MingLiU" w:hAnsi="MingLiU" w:eastAsia="MingLiU" w:cs="MingLiU"/>
      <w:kern w:val="2"/>
      <w:sz w:val="22"/>
      <w:szCs w:val="22"/>
      <w:shd w:val="clear" w:color="auto" w:fill="FFFFFF"/>
    </w:rPr>
  </w:style>
  <w:style w:type="paragraph" w:customStyle="1" w:styleId="66">
    <w:name w:val="正文文本 (2)3"/>
    <w:basedOn w:val="1"/>
    <w:link w:val="65"/>
    <w:qFormat/>
    <w:uiPriority w:val="0"/>
    <w:pPr>
      <w:shd w:val="clear" w:color="auto" w:fill="FFFFFF"/>
      <w:spacing w:line="0" w:lineRule="atLeast"/>
      <w:ind w:hanging="740"/>
    </w:pPr>
    <w:rPr>
      <w:rFonts w:ascii="MingLiU" w:hAnsi="MingLiU" w:eastAsia="MingLiU" w:cs="MingLiU"/>
      <w:sz w:val="22"/>
      <w:szCs w:val="22"/>
    </w:rPr>
  </w:style>
  <w:style w:type="character" w:customStyle="1" w:styleId="67">
    <w:name w:val="正文文本 (2)2"/>
    <w:qFormat/>
    <w:uiPriority w:val="0"/>
    <w:rPr>
      <w:rFonts w:ascii="MingLiU" w:hAnsi="MingLiU" w:eastAsia="MingLiU" w:cs="MingLiU"/>
      <w:color w:val="000000"/>
      <w:spacing w:val="0"/>
      <w:w w:val="100"/>
      <w:kern w:val="2"/>
      <w:position w:val="0"/>
      <w:sz w:val="22"/>
      <w:szCs w:val="22"/>
      <w:shd w:val="clear" w:color="auto" w:fill="FFFFFF"/>
      <w:lang w:val="ja-JP" w:eastAsia="ja-JP" w:bidi="ja-JP"/>
    </w:rPr>
  </w:style>
  <w:style w:type="character" w:customStyle="1" w:styleId="68">
    <w:name w:val="正文缩进 Char"/>
    <w:link w:val="69"/>
    <w:qFormat/>
    <w:uiPriority w:val="99"/>
    <w:rPr>
      <w:rFonts w:ascii="Calibri" w:hAnsi="Calibri"/>
      <w:lang w:eastAsia="en-US"/>
    </w:rPr>
  </w:style>
  <w:style w:type="paragraph" w:customStyle="1" w:styleId="69">
    <w:name w:val="正文缩进1"/>
    <w:basedOn w:val="1"/>
    <w:link w:val="68"/>
    <w:qFormat/>
    <w:uiPriority w:val="99"/>
    <w:pPr>
      <w:widowControl/>
      <w:ind w:left="425"/>
      <w:jc w:val="left"/>
    </w:pPr>
    <w:rPr>
      <w:rFonts w:ascii="Calibri" w:hAnsi="Calibri" w:cs="宋体"/>
      <w:kern w:val="0"/>
      <w:sz w:val="20"/>
      <w:szCs w:val="20"/>
      <w:lang w:eastAsia="en-US"/>
    </w:rPr>
  </w:style>
  <w:style w:type="character" w:customStyle="1" w:styleId="70">
    <w:name w:val="正文首行缩进 Char"/>
    <w:basedOn w:val="39"/>
    <w:qFormat/>
    <w:uiPriority w:val="99"/>
    <w:rPr>
      <w:kern w:val="2"/>
      <w:sz w:val="21"/>
      <w:szCs w:val="24"/>
    </w:rPr>
  </w:style>
  <w:style w:type="character" w:customStyle="1" w:styleId="71">
    <w:name w:val="无间隔 字符"/>
    <w:link w:val="72"/>
    <w:qFormat/>
    <w:uiPriority w:val="1"/>
    <w:rPr>
      <w:rFonts w:ascii="Tahoma" w:hAnsi="Tahoma" w:eastAsia="微软雅黑" w:cs="宋体"/>
      <w:sz w:val="22"/>
      <w:szCs w:val="22"/>
    </w:rPr>
  </w:style>
  <w:style w:type="paragraph" w:styleId="72">
    <w:name w:val="No Spacing"/>
    <w:link w:val="71"/>
    <w:qFormat/>
    <w:uiPriority w:val="1"/>
    <w:pPr>
      <w:adjustRightInd w:val="0"/>
      <w:snapToGrid w:val="0"/>
    </w:pPr>
    <w:rPr>
      <w:rFonts w:ascii="Tahoma" w:hAnsi="Tahoma" w:eastAsia="微软雅黑" w:cs="宋体"/>
      <w:sz w:val="22"/>
      <w:szCs w:val="22"/>
      <w:lang w:val="en-US" w:eastAsia="zh-CN" w:bidi="ar-SA"/>
    </w:rPr>
  </w:style>
  <w:style w:type="character" w:customStyle="1" w:styleId="73">
    <w:name w:val="HTML 预设格式 Char"/>
    <w:qFormat/>
    <w:uiPriority w:val="99"/>
    <w:rPr>
      <w:rFonts w:ascii="宋体" w:hAnsi="宋体" w:cs="宋体"/>
      <w:sz w:val="24"/>
      <w:szCs w:val="24"/>
    </w:rPr>
  </w:style>
  <w:style w:type="character" w:customStyle="1" w:styleId="74">
    <w:name w:val="mail_info_general_receiver_wrapper1"/>
    <w:basedOn w:val="26"/>
    <w:qFormat/>
    <w:uiPriority w:val="0"/>
  </w:style>
  <w:style w:type="character" w:customStyle="1" w:styleId="75">
    <w:name w:val="12px170h1"/>
    <w:basedOn w:val="26"/>
    <w:qFormat/>
    <w:uiPriority w:val="0"/>
  </w:style>
  <w:style w:type="character" w:customStyle="1" w:styleId="76">
    <w:name w:val="mail_info_general_receiver1"/>
    <w:qFormat/>
    <w:uiPriority w:val="0"/>
    <w:rPr>
      <w:sz w:val="20"/>
      <w:szCs w:val="20"/>
    </w:rPr>
  </w:style>
  <w:style w:type="character" w:customStyle="1" w:styleId="77">
    <w:name w:val="正文文本缩进 Char"/>
    <w:qFormat/>
    <w:uiPriority w:val="99"/>
    <w:rPr>
      <w:kern w:val="2"/>
      <w:sz w:val="21"/>
      <w:szCs w:val="24"/>
    </w:rPr>
  </w:style>
  <w:style w:type="character" w:customStyle="1" w:styleId="78">
    <w:name w:val="desc_to"/>
    <w:basedOn w:val="26"/>
    <w:qFormat/>
    <w:uiPriority w:val="0"/>
  </w:style>
  <w:style w:type="paragraph" w:customStyle="1" w:styleId="79">
    <w:name w:val="_Style 1"/>
    <w:basedOn w:val="1"/>
    <w:qFormat/>
    <w:uiPriority w:val="0"/>
    <w:pPr>
      <w:ind w:firstLine="420" w:firstLineChars="200"/>
    </w:pPr>
    <w:rPr>
      <w:rFonts w:ascii="Calibri" w:hAnsi="Calibri"/>
      <w:szCs w:val="22"/>
    </w:rPr>
  </w:style>
  <w:style w:type="character" w:customStyle="1" w:styleId="80">
    <w:name w:val="HTML 预设格式 字符"/>
    <w:basedOn w:val="26"/>
    <w:link w:val="18"/>
    <w:qFormat/>
    <w:uiPriority w:val="0"/>
    <w:rPr>
      <w:rFonts w:ascii="Courier New" w:hAnsi="Courier New" w:eastAsia="宋体" w:cs="Courier New"/>
      <w:kern w:val="2"/>
    </w:rPr>
  </w:style>
  <w:style w:type="character" w:customStyle="1" w:styleId="81">
    <w:name w:val="文档结构图 字符"/>
    <w:basedOn w:val="26"/>
    <w:link w:val="7"/>
    <w:qFormat/>
    <w:uiPriority w:val="99"/>
    <w:rPr>
      <w:rFonts w:ascii="宋体" w:hAnsi="Times New Roman" w:eastAsia="宋体" w:cs="Times New Roman"/>
      <w:kern w:val="2"/>
      <w:sz w:val="18"/>
      <w:szCs w:val="18"/>
    </w:rPr>
  </w:style>
  <w:style w:type="paragraph" w:customStyle="1" w:styleId="82">
    <w:name w:val="Char Char Char Char Char Char Char"/>
    <w:basedOn w:val="1"/>
    <w:qFormat/>
    <w:uiPriority w:val="0"/>
    <w:rPr>
      <w:rFonts w:ascii="Calibri" w:hAnsi="Calibri"/>
    </w:rPr>
  </w:style>
  <w:style w:type="character" w:customStyle="1" w:styleId="83">
    <w:name w:val="正文文本缩进 字符"/>
    <w:basedOn w:val="26"/>
    <w:link w:val="10"/>
    <w:qFormat/>
    <w:uiPriority w:val="99"/>
    <w:rPr>
      <w:rFonts w:ascii="Times New Roman" w:hAnsi="Times New Roman" w:eastAsia="宋体" w:cs="Times New Roman"/>
      <w:kern w:val="2"/>
      <w:sz w:val="21"/>
      <w:szCs w:val="24"/>
    </w:rPr>
  </w:style>
  <w:style w:type="paragraph" w:customStyle="1" w:styleId="84">
    <w:name w:val="List Paragraph1"/>
    <w:basedOn w:val="1"/>
    <w:qFormat/>
    <w:uiPriority w:val="34"/>
    <w:pPr>
      <w:widowControl/>
      <w:ind w:left="720"/>
      <w:jc w:val="left"/>
    </w:pPr>
    <w:rPr>
      <w:rFonts w:ascii="Calibri" w:hAnsi="Calibri" w:cs="Calibri"/>
      <w:kern w:val="0"/>
      <w:sz w:val="22"/>
      <w:szCs w:val="22"/>
    </w:rPr>
  </w:style>
  <w:style w:type="paragraph" w:customStyle="1" w:styleId="85">
    <w:name w:val="默认段落字体 Para Char Char Char Char Char"/>
    <w:basedOn w:val="1"/>
    <w:qFormat/>
    <w:uiPriority w:val="99"/>
    <w:rPr>
      <w:szCs w:val="21"/>
    </w:rPr>
  </w:style>
  <w:style w:type="character" w:customStyle="1" w:styleId="86">
    <w:name w:val="正文文本首行缩进 字符"/>
    <w:basedOn w:val="39"/>
    <w:link w:val="22"/>
    <w:qFormat/>
    <w:uiPriority w:val="99"/>
    <w:rPr>
      <w:rFonts w:ascii="Times New Roman" w:hAnsi="Times New Roman" w:eastAsia="宋体" w:cs="Times New Roman"/>
      <w:kern w:val="2"/>
      <w:sz w:val="21"/>
      <w:szCs w:val="24"/>
    </w:rPr>
  </w:style>
  <w:style w:type="character" w:customStyle="1" w:styleId="87">
    <w:name w:val="标题 字符"/>
    <w:basedOn w:val="26"/>
    <w:link w:val="20"/>
    <w:qFormat/>
    <w:uiPriority w:val="0"/>
    <w:rPr>
      <w:rFonts w:ascii="Cambria" w:hAnsi="Cambria" w:eastAsia="宋体" w:cs="宋体"/>
      <w:b/>
      <w:bCs/>
      <w:kern w:val="2"/>
      <w:sz w:val="32"/>
      <w:szCs w:val="32"/>
    </w:rPr>
  </w:style>
  <w:style w:type="paragraph" w:customStyle="1" w:styleId="88">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89">
    <w:name w:val="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0">
    <w:name w:val="样式 样式 样式 样式 小四 加粗 段前: 7.8 磅 段后: 7.8 磅 行距: 1.5 倍行距 + 段前: 0.5 行 段后...1"/>
    <w:basedOn w:val="1"/>
    <w:qFormat/>
    <w:uiPriority w:val="99"/>
    <w:pPr>
      <w:numPr>
        <w:ilvl w:val="2"/>
        <w:numId w:val="1"/>
      </w:numPr>
      <w:tabs>
        <w:tab w:val="left" w:pos="909"/>
        <w:tab w:val="left" w:pos="1680"/>
      </w:tabs>
      <w:spacing w:beforeLines="50" w:afterLines="50" w:line="360" w:lineRule="auto"/>
      <w:outlineLvl w:val="2"/>
    </w:pPr>
    <w:rPr>
      <w:rFonts w:ascii="Calibri" w:hAnsi="Calibri" w:cs="宋体"/>
      <w:sz w:val="24"/>
      <w:szCs w:val="20"/>
    </w:rPr>
  </w:style>
  <w:style w:type="paragraph" w:customStyle="1" w:styleId="91">
    <w:name w:val="p15"/>
    <w:basedOn w:val="1"/>
    <w:qFormat/>
    <w:uiPriority w:val="0"/>
    <w:pPr>
      <w:widowControl/>
      <w:ind w:left="5250"/>
    </w:pPr>
    <w:rPr>
      <w:rFonts w:ascii="隶书" w:hAnsi="Arial Unicode MS" w:eastAsia="隶书"/>
      <w:b/>
      <w:bCs/>
      <w:color w:val="000000"/>
      <w:kern w:val="0"/>
      <w:sz w:val="36"/>
      <w:szCs w:val="36"/>
    </w:rPr>
  </w:style>
  <w:style w:type="paragraph" w:customStyle="1" w:styleId="92">
    <w:name w:val="彩色列表 - 强调文字颜色 11"/>
    <w:basedOn w:val="1"/>
    <w:qFormat/>
    <w:uiPriority w:val="34"/>
    <w:pPr>
      <w:ind w:firstLine="420" w:firstLineChars="200"/>
    </w:pPr>
    <w:rPr>
      <w:szCs w:val="20"/>
    </w:rPr>
  </w:style>
  <w:style w:type="paragraph" w:customStyle="1" w:styleId="93">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94">
    <w:name w:val="无间距"/>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95">
    <w:name w:val="p0"/>
    <w:basedOn w:val="1"/>
    <w:qFormat/>
    <w:uiPriority w:val="0"/>
    <w:pPr>
      <w:widowControl/>
    </w:pPr>
    <w:rPr>
      <w:kern w:val="0"/>
      <w:szCs w:val="21"/>
    </w:rPr>
  </w:style>
  <w:style w:type="paragraph" w:customStyle="1" w:styleId="96">
    <w:name w:val="Body"/>
    <w:qFormat/>
    <w:uiPriority w:val="0"/>
    <w:pPr>
      <w:widowControl w:val="0"/>
      <w:jc w:val="both"/>
    </w:pPr>
    <w:rPr>
      <w:rFonts w:hint="eastAsia" w:ascii="Arial Unicode MS" w:hAnsi="Arial Unicode MS" w:eastAsia="Arial Unicode MS" w:cs="Arial Unicode MS"/>
      <w:color w:val="000000"/>
      <w:kern w:val="2"/>
      <w:sz w:val="21"/>
      <w:szCs w:val="21"/>
      <w:u w:color="000000"/>
      <w:lang w:val="zh-TW" w:eastAsia="zh-TW" w:bidi="ar-SA"/>
    </w:rPr>
  </w:style>
  <w:style w:type="paragraph" w:customStyle="1" w:styleId="97">
    <w:name w:val="样式 样式 样式 样式 标题 2 + 宋体 五号 非加粗 黑色 + 段前: 6 磅 段后: 0 磅 行距: 单倍行距 + 段前:..."/>
    <w:basedOn w:val="1"/>
    <w:qFormat/>
    <w:uiPriority w:val="99"/>
    <w:rPr>
      <w:szCs w:val="20"/>
    </w:rPr>
  </w:style>
  <w:style w:type="character" w:customStyle="1" w:styleId="98">
    <w:name w:val="纯文本 Char2"/>
    <w:basedOn w:val="26"/>
    <w:qFormat/>
    <w:uiPriority w:val="0"/>
    <w:rPr>
      <w:rFonts w:ascii="宋体" w:hAnsi="Courier New" w:eastAsia="宋体" w:cs="Times New Roman"/>
      <w:szCs w:val="24"/>
    </w:rPr>
  </w:style>
  <w:style w:type="character" w:customStyle="1" w:styleId="99">
    <w:name w:val="页脚 Char1"/>
    <w:basedOn w:val="26"/>
    <w:qFormat/>
    <w:uiPriority w:val="99"/>
    <w:rPr>
      <w:sz w:val="18"/>
      <w:szCs w:val="18"/>
    </w:rPr>
  </w:style>
  <w:style w:type="paragraph" w:customStyle="1" w:styleId="100">
    <w:name w:val="正文文本缩进 21"/>
    <w:basedOn w:val="1"/>
    <w:qFormat/>
    <w:uiPriority w:val="0"/>
    <w:pPr>
      <w:spacing w:after="120" w:line="480" w:lineRule="auto"/>
      <w:ind w:left="420" w:leftChars="200"/>
    </w:pPr>
    <w:rPr>
      <w:szCs w:val="22"/>
    </w:rPr>
  </w:style>
  <w:style w:type="character" w:customStyle="1" w:styleId="101">
    <w:name w:val="正文文本缩进 2 Char1"/>
    <w:basedOn w:val="26"/>
    <w:qFormat/>
    <w:uiPriority w:val="0"/>
    <w:rPr>
      <w:rFonts w:ascii="Times New Roman" w:hAnsi="Times New Roman" w:eastAsia="宋体" w:cs="Times New Roman"/>
      <w:szCs w:val="24"/>
    </w:rPr>
  </w:style>
  <w:style w:type="character" w:customStyle="1" w:styleId="102">
    <w:name w:val="fontstyle01"/>
    <w:basedOn w:val="26"/>
    <w:qFormat/>
    <w:uiPriority w:val="0"/>
    <w:rPr>
      <w:rFonts w:ascii="ATC-51704ead7ea49ed1* + L-1-3" w:hAnsi="ATC-51704ead7ea49ed1* + L-1-3" w:eastAsia="ATC-51704ead7ea49ed1* + L-1-3" w:cs="ATC-51704ead7ea49ed1* + L-1-3"/>
      <w:color w:val="000000"/>
      <w:sz w:val="18"/>
      <w:szCs w:val="18"/>
    </w:rPr>
  </w:style>
  <w:style w:type="paragraph" w:customStyle="1" w:styleId="103">
    <w:name w:val="列出段落6"/>
    <w:basedOn w:val="1"/>
    <w:qFormat/>
    <w:uiPriority w:val="0"/>
    <w:pPr>
      <w:ind w:firstLine="420" w:firstLineChars="200"/>
    </w:pPr>
    <w:rPr>
      <w:sz w:val="24"/>
    </w:rPr>
  </w:style>
  <w:style w:type="character" w:customStyle="1" w:styleId="104">
    <w:name w:val="15"/>
    <w:basedOn w:val="26"/>
    <w:qFormat/>
    <w:uiPriority w:val="0"/>
    <w:rPr>
      <w:rFonts w:hint="default" w:ascii="Calibri" w:hAnsi="Calibri" w:cs="Calibri"/>
      <w:color w:val="0000FF"/>
      <w:u w:val="single"/>
    </w:rPr>
  </w:style>
  <w:style w:type="paragraph" w:customStyle="1" w:styleId="105">
    <w:name w:val="Plain Text1"/>
    <w:basedOn w:val="1"/>
    <w:qFormat/>
    <w:uiPriority w:val="0"/>
    <w:pPr>
      <w:adjustRightInd w:val="0"/>
    </w:pPr>
    <w:rPr>
      <w:rFonts w:ascii="宋体" w:hAnsi="Courier New" w:eastAsia="楷体_GB2312"/>
      <w:sz w:val="28"/>
      <w:szCs w:val="20"/>
    </w:rPr>
  </w:style>
  <w:style w:type="character" w:customStyle="1" w:styleId="106">
    <w:name w:val="font31"/>
    <w:basedOn w:val="26"/>
    <w:qFormat/>
    <w:uiPriority w:val="99"/>
    <w:rPr>
      <w:rFonts w:ascii="微软雅黑" w:hAnsi="微软雅黑" w:eastAsia="微软雅黑" w:cs="微软雅黑"/>
      <w:color w:val="000000"/>
      <w:sz w:val="21"/>
      <w:szCs w:val="21"/>
      <w:u w:val="none"/>
    </w:rPr>
  </w:style>
  <w:style w:type="character" w:customStyle="1" w:styleId="107">
    <w:name w:val="批注主题 字符"/>
    <w:basedOn w:val="38"/>
    <w:link w:val="21"/>
    <w:qFormat/>
    <w:uiPriority w:val="99"/>
    <w:rPr>
      <w:rFonts w:ascii="Times New Roman" w:hAnsi="Times New Roman" w:eastAsia="宋体" w:cs="Times New Roman"/>
      <w:b/>
      <w:bCs/>
      <w:kern w:val="2"/>
      <w:sz w:val="21"/>
      <w:szCs w:val="24"/>
    </w:rPr>
  </w:style>
  <w:style w:type="character" w:customStyle="1" w:styleId="108">
    <w:name w:val="font91"/>
    <w:basedOn w:val="26"/>
    <w:qFormat/>
    <w:uiPriority w:val="0"/>
    <w:rPr>
      <w:rFonts w:hint="eastAsia" w:ascii="宋体" w:hAnsi="宋体" w:eastAsia="宋体" w:cs="宋体"/>
      <w:b/>
      <w:color w:val="000000"/>
      <w:sz w:val="20"/>
      <w:szCs w:val="20"/>
      <w:u w:val="none"/>
    </w:rPr>
  </w:style>
  <w:style w:type="character" w:customStyle="1" w:styleId="109">
    <w:name w:val="font51"/>
    <w:basedOn w:val="26"/>
    <w:qFormat/>
    <w:uiPriority w:val="0"/>
    <w:rPr>
      <w:rFonts w:hint="eastAsia" w:ascii="宋体" w:hAnsi="宋体" w:eastAsia="宋体" w:cs="宋体"/>
      <w:color w:val="000000"/>
      <w:sz w:val="22"/>
      <w:szCs w:val="22"/>
      <w:u w:val="none"/>
    </w:rPr>
  </w:style>
  <w:style w:type="paragraph" w:customStyle="1" w:styleId="110">
    <w:name w:val="HZY表格正文"/>
    <w:qFormat/>
    <w:uiPriority w:val="0"/>
    <w:pPr>
      <w:spacing w:line="400" w:lineRule="exact"/>
    </w:pPr>
    <w:rPr>
      <w:rFonts w:ascii="Times New Roman" w:hAnsi="Times New Roman" w:eastAsia="宋体" w:cs="Times New Roman"/>
      <w:kern w:val="2"/>
      <w:sz w:val="21"/>
      <w:szCs w:val="21"/>
      <w:lang w:val="en-US" w:eastAsia="zh-CN" w:bidi="ar-SA"/>
    </w:rPr>
  </w:style>
  <w:style w:type="paragraph" w:customStyle="1" w:styleId="111">
    <w:name w:val="yhw3"/>
    <w:basedOn w:val="1"/>
    <w:qFormat/>
    <w:uiPriority w:val="0"/>
    <w:pPr>
      <w:ind w:firstLine="640" w:firstLineChars="200"/>
    </w:pPr>
    <w:rPr>
      <w:rFonts w:cs="宋体"/>
    </w:rPr>
  </w:style>
  <w:style w:type="character" w:customStyle="1" w:styleId="112">
    <w:name w:val="font11"/>
    <w:basedOn w:val="26"/>
    <w:qFormat/>
    <w:uiPriority w:val="0"/>
    <w:rPr>
      <w:rFonts w:hint="eastAsia" w:ascii="宋体" w:hAnsi="宋体" w:eastAsia="宋体" w:cs="宋体"/>
      <w:color w:val="000000"/>
      <w:sz w:val="20"/>
      <w:szCs w:val="20"/>
      <w:u w:val="none"/>
    </w:rPr>
  </w:style>
  <w:style w:type="character" w:customStyle="1" w:styleId="113">
    <w:name w:val="正文文本首行缩进 2 字符"/>
    <w:basedOn w:val="83"/>
    <w:link w:val="23"/>
    <w:semiHidden/>
    <w:qFormat/>
    <w:uiPriority w:val="99"/>
    <w:rPr>
      <w:rFonts w:ascii="Times New Roman" w:hAnsi="Times New Roman" w:eastAsia="宋体" w:cs="Times New Roman"/>
      <w:kern w:val="2"/>
      <w:sz w:val="21"/>
      <w:szCs w:val="24"/>
    </w:rPr>
  </w:style>
  <w:style w:type="paragraph" w:customStyle="1" w:styleId="114">
    <w:name w:val="179"/>
    <w:basedOn w:val="1"/>
    <w:qFormat/>
    <w:uiPriority w:val="0"/>
    <w:pPr>
      <w:widowControl/>
      <w:spacing w:line="360" w:lineRule="auto"/>
      <w:ind w:firstLine="420" w:firstLineChars="200"/>
      <w:textAlignment w:val="baseline"/>
    </w:pPr>
    <w:rPr>
      <w:sz w:val="24"/>
    </w:rPr>
  </w:style>
  <w:style w:type="character" w:customStyle="1" w:styleId="115">
    <w:name w:val="NormalCharacter"/>
    <w:qFormat/>
    <w:uiPriority w:val="0"/>
  </w:style>
  <w:style w:type="paragraph" w:customStyle="1" w:styleId="116">
    <w:name w:val="首行缩进"/>
    <w:basedOn w:val="1"/>
    <w:qFormat/>
    <w:uiPriority w:val="0"/>
    <w:pPr>
      <w:ind w:firstLine="480" w:firstLineChars="200"/>
    </w:pPr>
    <w:rPr>
      <w:rFonts w:asciiTheme="minorHAnsi" w:hAnsiTheme="minorHAnsi" w:eastAsiaTheme="minorEastAsia" w:cstheme="minorBidi"/>
    </w:rPr>
  </w:style>
  <w:style w:type="paragraph" w:customStyle="1" w:styleId="117">
    <w:name w:val="Heading2"/>
    <w:basedOn w:val="1"/>
    <w:next w:val="1"/>
    <w:qFormat/>
    <w:uiPriority w:val="0"/>
    <w:pPr>
      <w:textAlignment w:val="baseline"/>
    </w:pPr>
    <w:rPr>
      <w:rFonts w:ascii="Calibri" w:hAnsi="Calibri"/>
      <w:sz w:val="30"/>
      <w:szCs w:val="30"/>
    </w:rPr>
  </w:style>
  <w:style w:type="paragraph" w:customStyle="1" w:styleId="118">
    <w:name w:val="一级条标题"/>
    <w:basedOn w:val="119"/>
    <w:next w:val="120"/>
    <w:qFormat/>
    <w:uiPriority w:val="0"/>
    <w:pPr>
      <w:spacing w:line="240" w:lineRule="auto"/>
      <w:ind w:left="420"/>
      <w:outlineLvl w:val="2"/>
    </w:pPr>
  </w:style>
  <w:style w:type="paragraph" w:customStyle="1" w:styleId="119">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120">
    <w:name w:val="段"/>
    <w:next w:val="1"/>
    <w:qFormat/>
    <w:uiPriority w:val="0"/>
    <w:pPr>
      <w:autoSpaceDE w:val="0"/>
      <w:autoSpaceDN w:val="0"/>
      <w:ind w:firstLine="200" w:firstLineChars="200"/>
      <w:jc w:val="both"/>
    </w:pPr>
    <w:rPr>
      <w:rFonts w:ascii="宋体" w:hAnsi="Calibri" w:eastAsia="宋体" w:cs="Times New Roman"/>
      <w:sz w:val="21"/>
      <w:szCs w:val="22"/>
      <w:lang w:val="en-US" w:eastAsia="zh-CN" w:bidi="ar-SA"/>
    </w:rPr>
  </w:style>
  <w:style w:type="character" w:customStyle="1" w:styleId="121">
    <w:name w:val="列出段落 字符2"/>
    <w:qFormat/>
    <w:uiPriority w:val="99"/>
    <w:rPr>
      <w:rFonts w:ascii="Times New Roman" w:hAnsi="Times New Roman" w:eastAsia="宋体" w:cs="Times New Roman"/>
      <w:kern w:val="2"/>
      <w:sz w:val="24"/>
      <w:szCs w:val="24"/>
    </w:rPr>
  </w:style>
  <w:style w:type="character" w:customStyle="1" w:styleId="122">
    <w:name w:val="font21"/>
    <w:basedOn w:val="26"/>
    <w:qFormat/>
    <w:uiPriority w:val="0"/>
    <w:rPr>
      <w:rFonts w:ascii="Calibri" w:hAnsi="Calibri" w:cs="Calibri"/>
      <w:color w:val="000000"/>
      <w:sz w:val="20"/>
      <w:szCs w:val="20"/>
      <w:u w:val="none"/>
    </w:rPr>
  </w:style>
  <w:style w:type="paragraph" w:customStyle="1" w:styleId="123">
    <w:name w:val="null3"/>
    <w:qFormat/>
    <w:uiPriority w:val="0"/>
    <w:rPr>
      <w:rFonts w:hint="eastAsia" w:ascii="Calibri" w:hAnsi="Calibri" w:eastAsia="宋体" w:cs="Times New Roman"/>
      <w:lang w:val="en-US" w:eastAsia="zh-CN" w:bidi="ar-SA"/>
    </w:rPr>
  </w:style>
  <w:style w:type="character" w:customStyle="1" w:styleId="124">
    <w:name w:val="列出段落 字符3"/>
    <w:qFormat/>
    <w:uiPriority w:val="99"/>
    <w:rPr>
      <w:rFonts w:ascii="Times New Roman" w:hAnsi="Times New Roman" w:eastAsia="宋体" w:cs="Times New Roman"/>
      <w:kern w:val="2"/>
      <w:sz w:val="24"/>
      <w:szCs w:val="24"/>
    </w:rPr>
  </w:style>
  <w:style w:type="paragraph" w:customStyle="1" w:styleId="125">
    <w:name w:val="列表段落1"/>
    <w:basedOn w:val="1"/>
    <w:qFormat/>
    <w:uiPriority w:val="34"/>
    <w:pPr>
      <w:ind w:firstLine="420" w:firstLineChars="200"/>
    </w:pPr>
    <w:rPr>
      <w:sz w:val="28"/>
    </w:rPr>
  </w:style>
  <w:style w:type="character" w:customStyle="1" w:styleId="126">
    <w:name w:val="apple-style-span"/>
    <w:qFormat/>
    <w:uiPriority w:val="0"/>
    <w:rPr>
      <w:rFonts w:ascii="Times New Roman" w:hAnsi="Times New Roman" w:eastAsia="宋体" w:cs="Times New Roman"/>
    </w:rPr>
  </w:style>
  <w:style w:type="character" w:customStyle="1" w:styleId="127">
    <w:name w:val="正文文本 Char"/>
    <w:qFormat/>
    <w:uiPriority w:val="0"/>
    <w:rPr>
      <w:rFonts w:ascii="Times New Roman" w:hAnsi="Times New Roman"/>
      <w:kern w:val="2"/>
      <w:sz w:val="21"/>
      <w:szCs w:val="24"/>
    </w:rPr>
  </w:style>
  <w:style w:type="character" w:customStyle="1" w:styleId="128">
    <w:name w:val="列表段落 字符"/>
    <w:qFormat/>
    <w:uiPriority w:val="99"/>
  </w:style>
  <w:style w:type="paragraph" w:customStyle="1" w:styleId="129">
    <w:name w:val="Table Paragraph"/>
    <w:basedOn w:val="1"/>
    <w:qFormat/>
    <w:uiPriority w:val="1"/>
    <w:pPr>
      <w:jc w:val="left"/>
    </w:pPr>
    <w:rPr>
      <w:rFonts w:ascii="Calibri" w:hAnsi="Calibri" w:eastAsia="Calibri"/>
      <w:kern w:val="0"/>
      <w:sz w:val="22"/>
      <w:szCs w:val="22"/>
      <w:lang w:eastAsia="en-US"/>
    </w:rPr>
  </w:style>
  <w:style w:type="paragraph" w:customStyle="1" w:styleId="130">
    <w:name w:val="修订1"/>
    <w:unhideWhenUsed/>
    <w:qFormat/>
    <w:uiPriority w:val="99"/>
    <w:rPr>
      <w:rFonts w:ascii="Times New Roman" w:hAnsi="Times New Roman" w:eastAsia="宋体" w:cs="Times New Roman"/>
      <w:kern w:val="2"/>
      <w:sz w:val="21"/>
      <w:szCs w:val="24"/>
      <w:lang w:val="en-US" w:eastAsia="zh-CN" w:bidi="ar-SA"/>
    </w:rPr>
  </w:style>
  <w:style w:type="table" w:customStyle="1" w:styleId="131">
    <w:name w:val="网格型1"/>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2">
    <w:name w:val="正文缩进 字符"/>
    <w:link w:val="6"/>
    <w:qFormat/>
    <w:locked/>
    <w:uiPriority w:val="99"/>
    <w:rPr>
      <w:rFonts w:ascii="Calibri" w:hAnsi="Calibri"/>
      <w:kern w:val="2"/>
      <w:sz w:val="21"/>
    </w:rPr>
  </w:style>
  <w:style w:type="paragraph" w:customStyle="1" w:styleId="133">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34">
    <w:name w:val="列出段落3"/>
    <w:basedOn w:val="1"/>
    <w:qFormat/>
    <w:uiPriority w:val="34"/>
    <w:pPr>
      <w:ind w:firstLine="420" w:firstLineChars="200"/>
    </w:pPr>
  </w:style>
  <w:style w:type="paragraph" w:customStyle="1" w:styleId="135">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136">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137">
    <w:name w:val="正文文本 2 字符"/>
    <w:basedOn w:val="26"/>
    <w:link w:val="17"/>
    <w:qFormat/>
    <w:uiPriority w:val="0"/>
    <w:rPr>
      <w:rFonts w:ascii="Tahoma" w:hAnsi="Tahoma" w:eastAsia="微软雅黑"/>
      <w:sz w:val="22"/>
      <w:szCs w:val="22"/>
    </w:rPr>
  </w:style>
  <w:style w:type="paragraph" w:customStyle="1" w:styleId="138">
    <w:name w:val="Fließtext"/>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8"/>
      <w:sz w:val="21"/>
      <w:lang w:val="en-US" w:eastAsia="zh-CN" w:bidi="ar-SA"/>
    </w:rPr>
  </w:style>
  <w:style w:type="paragraph" w:customStyle="1" w:styleId="139">
    <w:name w:val="Table Text"/>
    <w:basedOn w:val="1"/>
    <w:semiHidden/>
    <w:qFormat/>
    <w:uiPriority w:val="0"/>
    <w:rPr>
      <w:rFonts w:ascii="宋体" w:hAnsi="宋体" w:cs="宋体"/>
      <w:sz w:val="24"/>
      <w:lang w:eastAsia="en-US"/>
    </w:rPr>
  </w:style>
  <w:style w:type="table" w:customStyle="1" w:styleId="14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XSL" StyleName="APA Fifth Edition"/>
</file>

<file path=customXml/item2.xml><?xml version="1.0" encoding="utf-8"?>
<mcd:customData xmlns:mcd="http://www.wps.cn/android/officeDocument/2013/mofficeCustomData" version="2">
  <mcd:comments xmlns:mcd="http://www.wps.cn/android/officeDocument/2013/mofficeCustomData"/>
</mcd:customData>
</file>

<file path=customXml/itemProps1.xml><?xml version="1.0" encoding="utf-8"?>
<ds:datastoreItem xmlns:ds="http://schemas.openxmlformats.org/officeDocument/2006/customXml" ds:itemID="{F29C6695-4955-4DEE-82AE-EFEC5E51EE3A}">
  <ds:schemaRefs/>
</ds:datastoreItem>
</file>

<file path=customXml/itemProps2.xml><?xml version="1.0" encoding="utf-8"?>
<ds:datastoreItem xmlns:ds="http://schemas.openxmlformats.org/officeDocument/2006/customXml" ds:itemID="{6F642970-D34F-447F-AA43-E1ED42FF8B74}">
  <ds:schemaRefs/>
</ds:datastoreItem>
</file>

<file path=docProps/app.xml><?xml version="1.0" encoding="utf-8"?>
<Properties xmlns="http://schemas.openxmlformats.org/officeDocument/2006/extended-properties" xmlns:vt="http://schemas.openxmlformats.org/officeDocument/2006/docPropsVTypes">
  <Template>Normal</Template>
  <Pages>25</Pages>
  <Words>1708</Words>
  <Characters>1840</Characters>
  <Lines>60</Lines>
  <Paragraphs>17</Paragraphs>
  <TotalTime>124</TotalTime>
  <ScaleCrop>false</ScaleCrop>
  <LinksUpToDate>false</LinksUpToDate>
  <CharactersWithSpaces>1947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2025-07-22T07:23:00Z</dcterms:created>
  <dc:creator>许熠堃</dc:creator>
  <cp:lastModifiedBy>Administrator</cp:lastModifiedBy>
  <cp:lastPrinted>2025-03-14T06:47:00Z</cp:lastPrinted>
  <dcterms:modified xsi:type="dcterms:W3CDTF">2026-09-29T09:29:44Z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0A49A4CAACFB4C3A8C1DA941E1EEEF81_13</vt:lpwstr>
  </property>
  <property fmtid="{D5CDD505-2E9C-101B-9397-08002B2CF9AE}" pid="4" name="KSOTemplateDocerSaveRecord">
    <vt:lpwstr>eyJoZGlkIjoiZTAyNTVjNGY4MTI4MTU3ZTk4YzU1ZmNhMjU4NDc5ZmMiLCJ1c2VySWQiOiIxNzAyMDk2Nzk3In0=</vt:lpwstr>
  </property>
</Properties>
</file>