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A2876">
      <w:pPr>
        <w:adjustRightInd/>
        <w:snapToGrid/>
        <w:spacing w:after="0" w:line="480" w:lineRule="atLeast"/>
        <w:jc w:val="center"/>
        <w:rPr>
          <w:rFonts w:ascii="宋体" w:hAnsi="宋体" w:eastAsia="宋体" w:cs="宋体"/>
          <w:b/>
          <w:bCs/>
          <w:color w:val="404040"/>
          <w:sz w:val="32"/>
          <w:szCs w:val="32"/>
          <w:highlight w:val="none"/>
        </w:rPr>
      </w:pPr>
      <w:bookmarkStart w:id="0" w:name="_Hlk176266948"/>
      <w:bookmarkStart w:id="1" w:name="_Hlk176267182"/>
      <w:r>
        <w:rPr>
          <w:rFonts w:ascii="宋体" w:hAnsi="宋体" w:eastAsia="宋体" w:cs="宋体"/>
          <w:b/>
          <w:bCs/>
          <w:color w:val="404040"/>
          <w:sz w:val="32"/>
          <w:szCs w:val="32"/>
          <w:highlight w:val="none"/>
        </w:rPr>
        <w:t>福建省肿瘤医院</w:t>
      </w:r>
      <w:bookmarkEnd w:id="0"/>
      <w:bookmarkEnd w:id="1"/>
      <w:r>
        <w:rPr>
          <w:rFonts w:hint="eastAsia" w:ascii="宋体" w:hAnsi="宋体" w:eastAsia="宋体" w:cs="宋体"/>
          <w:b/>
          <w:bCs/>
          <w:color w:val="404040"/>
          <w:sz w:val="32"/>
          <w:szCs w:val="32"/>
          <w:highlight w:val="none"/>
          <w:lang w:eastAsia="zh-CN"/>
        </w:rPr>
        <w:t>布类洗涤服务</w:t>
      </w:r>
      <w:r>
        <w:rPr>
          <w:rFonts w:hint="eastAsia" w:ascii="宋体" w:hAnsi="宋体" w:eastAsia="宋体" w:cs="宋体"/>
          <w:b/>
          <w:bCs/>
          <w:color w:val="404040"/>
          <w:sz w:val="32"/>
          <w:szCs w:val="32"/>
          <w:highlight w:val="none"/>
        </w:rPr>
        <w:t>招标公告</w:t>
      </w:r>
    </w:p>
    <w:p w14:paraId="45DEC689">
      <w:pPr>
        <w:adjustRightInd/>
        <w:snapToGrid/>
        <w:spacing w:before="150" w:after="0" w:line="480" w:lineRule="atLeast"/>
        <w:jc w:val="both"/>
        <w:rPr>
          <w:rFonts w:ascii="宋体" w:hAnsi="宋体" w:eastAsia="宋体" w:cs="宋体"/>
          <w:color w:val="404040"/>
          <w:sz w:val="28"/>
          <w:szCs w:val="28"/>
          <w:highlight w:val="none"/>
        </w:rPr>
      </w:pPr>
      <w:r>
        <w:rPr>
          <w:rFonts w:hint="eastAsia" w:ascii="宋体" w:hAnsi="宋体" w:eastAsia="宋体" w:cs="宋体"/>
          <w:b/>
          <w:bCs/>
          <w:color w:val="404040"/>
          <w:sz w:val="26"/>
          <w:highlight w:val="none"/>
        </w:rPr>
        <w:t>一、招标项目概况和范围</w:t>
      </w:r>
    </w:p>
    <w:p w14:paraId="4FE293A6">
      <w:pPr>
        <w:pStyle w:val="13"/>
        <w:numPr>
          <w:ilvl w:val="0"/>
          <w:numId w:val="1"/>
        </w:numPr>
        <w:adjustRightInd/>
        <w:snapToGrid/>
        <w:spacing w:after="0" w:line="480" w:lineRule="atLeast"/>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rPr>
        <w:t>项目名称：福建省肿瘤医院</w:t>
      </w:r>
      <w:r>
        <w:rPr>
          <w:rFonts w:hint="eastAsia" w:ascii="宋体" w:hAnsi="宋体" w:eastAsia="宋体" w:cs="宋体"/>
          <w:color w:val="404040"/>
          <w:sz w:val="26"/>
          <w:szCs w:val="26"/>
          <w:highlight w:val="none"/>
          <w:lang w:eastAsia="zh-CN"/>
        </w:rPr>
        <w:t>布类洗涤服务</w:t>
      </w:r>
    </w:p>
    <w:p w14:paraId="253B8844">
      <w:pPr>
        <w:pStyle w:val="13"/>
        <w:numPr>
          <w:ilvl w:val="0"/>
          <w:numId w:val="1"/>
        </w:numPr>
        <w:adjustRightInd/>
        <w:snapToGrid/>
        <w:spacing w:after="0" w:line="480" w:lineRule="atLeast"/>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rPr>
        <w:t>项目地点：福马路420号</w:t>
      </w:r>
    </w:p>
    <w:p w14:paraId="6ACAEE0D">
      <w:pPr>
        <w:pStyle w:val="13"/>
        <w:numPr>
          <w:ilvl w:val="0"/>
          <w:numId w:val="1"/>
        </w:numPr>
        <w:adjustRightInd/>
        <w:snapToGrid/>
        <w:spacing w:after="0" w:line="480" w:lineRule="atLeast"/>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rPr>
        <w:t>招标范围和内容：见附件</w:t>
      </w:r>
    </w:p>
    <w:p w14:paraId="220C2998">
      <w:pPr>
        <w:pStyle w:val="13"/>
        <w:numPr>
          <w:ilvl w:val="0"/>
          <w:numId w:val="1"/>
        </w:numPr>
        <w:adjustRightInd/>
        <w:snapToGrid/>
        <w:spacing w:after="0" w:line="480" w:lineRule="atLeast"/>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lang w:val="en-US" w:eastAsia="zh-CN"/>
        </w:rPr>
        <w:t>服务期</w:t>
      </w:r>
      <w:r>
        <w:rPr>
          <w:rFonts w:hint="eastAsia" w:ascii="宋体" w:hAnsi="宋体" w:eastAsia="宋体" w:cs="宋体"/>
          <w:color w:val="404040"/>
          <w:sz w:val="26"/>
          <w:szCs w:val="26"/>
          <w:highlight w:val="none"/>
        </w:rPr>
        <w:t>：</w:t>
      </w:r>
      <w:r>
        <w:rPr>
          <w:rFonts w:hint="eastAsia" w:ascii="宋体" w:hAnsi="宋体" w:eastAsia="宋体" w:cs="宋体"/>
          <w:color w:val="404040"/>
          <w:sz w:val="26"/>
          <w:szCs w:val="26"/>
          <w:highlight w:val="none"/>
          <w:lang w:val="en-US" w:eastAsia="zh-CN"/>
        </w:rPr>
        <w:t>2个月</w:t>
      </w:r>
    </w:p>
    <w:p w14:paraId="4A5AE491">
      <w:pPr>
        <w:adjustRightInd/>
        <w:snapToGrid/>
        <w:spacing w:before="150" w:after="0" w:line="480" w:lineRule="atLeast"/>
        <w:jc w:val="both"/>
        <w:rPr>
          <w:rFonts w:hint="eastAsia" w:ascii="宋体" w:hAnsi="宋体" w:eastAsia="宋体" w:cs="宋体"/>
          <w:b/>
          <w:bCs/>
          <w:color w:val="404040"/>
          <w:sz w:val="26"/>
          <w:highlight w:val="none"/>
        </w:rPr>
      </w:pPr>
      <w:r>
        <w:rPr>
          <w:rFonts w:hint="eastAsia" w:ascii="宋体" w:hAnsi="宋体" w:eastAsia="宋体" w:cs="宋体"/>
          <w:b/>
          <w:bCs/>
          <w:color w:val="404040"/>
          <w:sz w:val="26"/>
          <w:highlight w:val="none"/>
        </w:rPr>
        <w:t>二、投标人资格要求及审查办法</w:t>
      </w:r>
    </w:p>
    <w:p w14:paraId="4A778953">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满足《中华人民共和国政府采购法》第二十二条规定。</w:t>
      </w:r>
    </w:p>
    <w:p w14:paraId="02A817DE">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落实政府采购政策需满足的资格要求。</w:t>
      </w:r>
    </w:p>
    <w:p w14:paraId="28D11487">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委托代表人资格证明书（附法人及委托人身份证）。</w:t>
      </w:r>
    </w:p>
    <w:p w14:paraId="732DCD6E">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财务状况报告（最近一个年度经审计的财务报告或资信证明或投标担保函）；</w:t>
      </w:r>
    </w:p>
    <w:p w14:paraId="3D28F9F8">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参加本次活动前三年内，在经营活动中没有重大违法违规记录的承诺。</w:t>
      </w:r>
    </w:p>
    <w:p w14:paraId="78406CE0">
      <w:pPr>
        <w:numPr>
          <w:ilvl w:val="0"/>
          <w:numId w:val="2"/>
        </w:numPr>
        <w:adjustRightInd/>
        <w:snapToGrid/>
        <w:spacing w:before="150" w:after="0" w:line="480" w:lineRule="atLeast"/>
        <w:jc w:val="both"/>
        <w:rPr>
          <w:rFonts w:hint="eastAsia" w:ascii="宋体" w:hAnsi="宋体" w:eastAsia="宋体"/>
          <w:highlight w:val="none"/>
        </w:rPr>
      </w:pPr>
      <w:r>
        <w:rPr>
          <w:rFonts w:hint="eastAsia" w:ascii="宋体" w:hAnsi="宋体" w:eastAsia="宋体" w:cs="宋体"/>
          <w:color w:val="404040"/>
          <w:sz w:val="26"/>
          <w:szCs w:val="26"/>
          <w:highlight w:val="none"/>
        </w:rPr>
        <w:t>具备履行合同所必需设备和专业技术能力的声明函；</w:t>
      </w:r>
    </w:p>
    <w:p w14:paraId="1D3511D2">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资格审查采用方式：资格后审。</w:t>
      </w:r>
    </w:p>
    <w:p w14:paraId="340727C5">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本招标项目不接受联合体投标，不接受备选投标方案，不允许分包。</w:t>
      </w:r>
    </w:p>
    <w:p w14:paraId="57FDB5D8">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投标人应通过“信用中国（</w:t>
      </w:r>
      <w:r>
        <w:rPr>
          <w:highlight w:val="none"/>
        </w:rPr>
        <w:fldChar w:fldCharType="begin"/>
      </w:r>
      <w:r>
        <w:rPr>
          <w:highlight w:val="none"/>
        </w:rPr>
        <w:instrText xml:space="preserve"> HYPERLINK "http://www.creditchina.gov.cn/" </w:instrText>
      </w:r>
      <w:r>
        <w:rPr>
          <w:highlight w:val="none"/>
        </w:rPr>
        <w:fldChar w:fldCharType="separate"/>
      </w:r>
      <w:r>
        <w:rPr>
          <w:rStyle w:val="11"/>
          <w:rFonts w:hint="eastAsia" w:ascii="宋体" w:hAnsi="宋体" w:eastAsia="宋体" w:cs="宋体"/>
          <w:sz w:val="26"/>
          <w:szCs w:val="26"/>
          <w:highlight w:val="none"/>
        </w:rPr>
        <w:t>www.creditchina.gov.cn</w:t>
      </w:r>
      <w:r>
        <w:rPr>
          <w:rStyle w:val="11"/>
          <w:rFonts w:hint="eastAsia" w:ascii="宋体" w:hAnsi="宋体" w:eastAsia="宋体" w:cs="宋体"/>
          <w:sz w:val="26"/>
          <w:szCs w:val="26"/>
          <w:highlight w:val="none"/>
        </w:rPr>
        <w:fldChar w:fldCharType="end"/>
      </w:r>
      <w:r>
        <w:rPr>
          <w:rFonts w:hint="eastAsia" w:ascii="宋体" w:hAnsi="宋体" w:eastAsia="宋体" w:cs="宋体"/>
          <w:color w:val="404040"/>
          <w:sz w:val="26"/>
          <w:szCs w:val="26"/>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11"/>
          <w:rFonts w:hint="eastAsia" w:ascii="宋体" w:hAnsi="宋体" w:eastAsia="宋体" w:cs="宋体"/>
          <w:sz w:val="26"/>
          <w:szCs w:val="26"/>
          <w:highlight w:val="none"/>
        </w:rPr>
        <w:t>www.ccgp.gov.cn</w:t>
      </w:r>
      <w:r>
        <w:rPr>
          <w:rStyle w:val="11"/>
          <w:rFonts w:hint="eastAsia" w:ascii="宋体" w:hAnsi="宋体" w:eastAsia="宋体" w:cs="宋体"/>
          <w:sz w:val="26"/>
          <w:szCs w:val="26"/>
          <w:highlight w:val="none"/>
        </w:rPr>
        <w:fldChar w:fldCharType="end"/>
      </w:r>
      <w:r>
        <w:rPr>
          <w:rFonts w:hint="eastAsia" w:ascii="宋体" w:hAnsi="宋体" w:eastAsia="宋体" w:cs="宋体"/>
          <w:color w:val="404040"/>
          <w:sz w:val="26"/>
          <w:szCs w:val="26"/>
          <w:highlight w:val="none"/>
        </w:rPr>
        <w:t>)”查询并打印相应的信用记录。</w:t>
      </w:r>
    </w:p>
    <w:p w14:paraId="68F4F86B">
      <w:pPr>
        <w:numPr>
          <w:ilvl w:val="0"/>
          <w:numId w:val="2"/>
        </w:num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投标人应对投标文件资料的真实性负责，招标人在授予合同之前有权对其投标文件资料进行核实，如发现所提交的资料不真实，招标人将视其为以弄虚作假方式骗取中标，其中标无效，若给招标人造成损失的，应依法承担赔偿责任，并列入医院供应商黑名单，院方有权在今后采购活动中拒绝接受其投标材料。</w:t>
      </w:r>
    </w:p>
    <w:p w14:paraId="5EE0C1BA">
      <w:pPr>
        <w:adjustRightInd/>
        <w:snapToGrid/>
        <w:spacing w:before="150" w:after="0" w:line="480" w:lineRule="atLeast"/>
        <w:ind w:firstLine="48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上述提供材料均须加盖公章。</w:t>
      </w:r>
    </w:p>
    <w:p w14:paraId="33D76D7E">
      <w:pPr>
        <w:adjustRightInd/>
        <w:snapToGrid/>
        <w:spacing w:before="150" w:after="0" w:line="480" w:lineRule="atLeast"/>
        <w:ind w:firstLine="520" w:firstLineChars="20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备注：本项目基本资格条件采取“信用承诺制”，投标人提供资格承诺函(格式详见附件)的即可参加采购活动，在投标文件中无需再提供财务状况报告、依法缴纳税收和社会保障资金的相关证明材料。投标人可自行选择是否提供资格承诺函，若不提供资格承诺函的，应按招标文件要求提供相应的证明材料。投标人应当遵循诚实信用原则，不得作虚假承诺，投标人承诺不实的，属于提供虚假材料谋取中标、成交，应依法承担相应的法律责任。</w:t>
      </w:r>
    </w:p>
    <w:p w14:paraId="77C76A79">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rPr>
        <w:t>三、招标文件的获取</w:t>
      </w:r>
    </w:p>
    <w:p w14:paraId="71C8281A">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1、本招标项目不采用电子招投标。</w:t>
      </w:r>
    </w:p>
    <w:p w14:paraId="1A481953">
      <w:pPr>
        <w:adjustRightInd/>
        <w:snapToGrid/>
        <w:spacing w:before="150" w:after="0" w:line="480" w:lineRule="atLeast"/>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2、凡有意参加投标者，均可在福建省肿瘤医院官网（</w:t>
      </w:r>
      <w:r>
        <w:rPr>
          <w:rFonts w:ascii="宋体" w:hAnsi="宋体" w:eastAsia="宋体" w:cs="宋体"/>
          <w:color w:val="404040"/>
          <w:sz w:val="26"/>
          <w:szCs w:val="26"/>
          <w:highlight w:val="none"/>
        </w:rPr>
        <w:t>https://www.fjzl.com.cn</w:t>
      </w:r>
      <w:r>
        <w:rPr>
          <w:rFonts w:hint="eastAsia" w:ascii="宋体" w:hAnsi="宋体" w:eastAsia="宋体" w:cs="宋体"/>
          <w:color w:val="404040"/>
          <w:sz w:val="26"/>
          <w:szCs w:val="26"/>
          <w:highlight w:val="none"/>
        </w:rPr>
        <w:t>）下载与本项目相关的招标信息（包括招标文件、招标文件补充说明等），并于</w:t>
      </w:r>
      <w:r>
        <w:rPr>
          <w:rFonts w:hint="eastAsia" w:ascii="宋体" w:hAnsi="宋体" w:eastAsia="宋体" w:cs="宋体"/>
          <w:color w:val="404040"/>
          <w:sz w:val="26"/>
          <w:szCs w:val="26"/>
          <w:highlight w:val="none"/>
          <w:lang w:eastAsia="zh-CN"/>
        </w:rPr>
        <w:t>2026年</w:t>
      </w:r>
      <w:r>
        <w:rPr>
          <w:rFonts w:hint="eastAsia" w:ascii="宋体" w:hAnsi="宋体" w:eastAsia="宋体" w:cs="宋体"/>
          <w:color w:val="404040"/>
          <w:sz w:val="26"/>
          <w:szCs w:val="26"/>
          <w:highlight w:val="none"/>
          <w:lang w:val="en-US" w:eastAsia="zh-CN"/>
        </w:rPr>
        <w:t>9</w:t>
      </w:r>
      <w:r>
        <w:rPr>
          <w:rFonts w:hint="eastAsia" w:ascii="宋体" w:hAnsi="宋体" w:eastAsia="宋体" w:cs="宋体"/>
          <w:color w:val="404040"/>
          <w:sz w:val="26"/>
          <w:szCs w:val="26"/>
          <w:highlight w:val="none"/>
        </w:rPr>
        <w:t>月</w:t>
      </w:r>
      <w:r>
        <w:rPr>
          <w:rFonts w:hint="eastAsia" w:ascii="宋体" w:hAnsi="宋体" w:eastAsia="宋体" w:cs="宋体"/>
          <w:color w:val="404040"/>
          <w:sz w:val="26"/>
          <w:szCs w:val="26"/>
          <w:highlight w:val="none"/>
          <w:lang w:val="en-US" w:eastAsia="zh-CN"/>
        </w:rPr>
        <w:t>28</w:t>
      </w:r>
      <w:r>
        <w:rPr>
          <w:rFonts w:hint="eastAsia" w:ascii="宋体" w:hAnsi="宋体" w:eastAsia="宋体" w:cs="宋体"/>
          <w:color w:val="404040"/>
          <w:sz w:val="26"/>
          <w:szCs w:val="26"/>
          <w:highlight w:val="none"/>
        </w:rPr>
        <w:t>日至</w:t>
      </w:r>
      <w:r>
        <w:rPr>
          <w:rFonts w:hint="eastAsia" w:ascii="宋体" w:hAnsi="宋体" w:eastAsia="宋体" w:cs="宋体"/>
          <w:color w:val="404040"/>
          <w:sz w:val="26"/>
          <w:szCs w:val="26"/>
          <w:highlight w:val="none"/>
          <w:lang w:eastAsia="zh-CN"/>
        </w:rPr>
        <w:t>2026年</w:t>
      </w:r>
      <w:r>
        <w:rPr>
          <w:rFonts w:hint="eastAsia" w:ascii="宋体" w:hAnsi="宋体" w:eastAsia="宋体" w:cs="宋体"/>
          <w:color w:val="404040"/>
          <w:sz w:val="26"/>
          <w:szCs w:val="26"/>
          <w:highlight w:val="none"/>
          <w:lang w:val="en-US" w:eastAsia="zh-CN"/>
        </w:rPr>
        <w:t>9</w:t>
      </w:r>
      <w:r>
        <w:rPr>
          <w:rFonts w:hint="eastAsia" w:ascii="宋体" w:hAnsi="宋体" w:eastAsia="宋体" w:cs="宋体"/>
          <w:color w:val="404040"/>
          <w:sz w:val="26"/>
          <w:szCs w:val="26"/>
          <w:highlight w:val="none"/>
        </w:rPr>
        <w:t>月</w:t>
      </w:r>
      <w:r>
        <w:rPr>
          <w:rFonts w:hint="eastAsia" w:ascii="宋体" w:hAnsi="宋体" w:eastAsia="宋体" w:cs="宋体"/>
          <w:color w:val="404040"/>
          <w:sz w:val="26"/>
          <w:szCs w:val="26"/>
          <w:highlight w:val="none"/>
          <w:lang w:val="en-US" w:eastAsia="zh-CN"/>
        </w:rPr>
        <w:t>30</w:t>
      </w:r>
      <w:r>
        <w:rPr>
          <w:rFonts w:hint="eastAsia" w:ascii="宋体" w:hAnsi="宋体" w:eastAsia="宋体" w:cs="宋体"/>
          <w:color w:val="404040"/>
          <w:sz w:val="26"/>
          <w:szCs w:val="26"/>
          <w:highlight w:val="none"/>
        </w:rPr>
        <w:t>日(节假日除外)8：00-12：00或14：</w:t>
      </w:r>
      <w:r>
        <w:rPr>
          <w:rFonts w:hint="eastAsia" w:ascii="宋体" w:hAnsi="宋体" w:eastAsia="宋体" w:cs="宋体"/>
          <w:color w:val="404040"/>
          <w:sz w:val="26"/>
          <w:szCs w:val="26"/>
          <w:highlight w:val="none"/>
          <w:lang w:val="en-US" w:eastAsia="zh-CN"/>
        </w:rPr>
        <w:t>3</w:t>
      </w:r>
      <w:r>
        <w:rPr>
          <w:rFonts w:hint="eastAsia" w:ascii="宋体" w:hAnsi="宋体" w:eastAsia="宋体" w:cs="宋体"/>
          <w:color w:val="404040"/>
          <w:sz w:val="26"/>
          <w:szCs w:val="26"/>
          <w:highlight w:val="none"/>
        </w:rPr>
        <w:t>0-17：</w:t>
      </w:r>
      <w:r>
        <w:rPr>
          <w:rFonts w:hint="eastAsia" w:ascii="宋体" w:hAnsi="宋体" w:eastAsia="宋体" w:cs="宋体"/>
          <w:color w:val="404040"/>
          <w:sz w:val="26"/>
          <w:szCs w:val="26"/>
          <w:highlight w:val="none"/>
          <w:lang w:val="en-US" w:eastAsia="zh-CN"/>
        </w:rPr>
        <w:t>3</w:t>
      </w:r>
      <w:r>
        <w:rPr>
          <w:rFonts w:hint="eastAsia" w:ascii="宋体" w:hAnsi="宋体" w:eastAsia="宋体" w:cs="宋体"/>
          <w:color w:val="404040"/>
          <w:sz w:val="26"/>
          <w:szCs w:val="26"/>
          <w:highlight w:val="none"/>
        </w:rPr>
        <w:t>0，携带加盖公章的营业执照复印件、介绍信前往福建省肿瘤医院总务科报名。</w:t>
      </w:r>
    </w:p>
    <w:p w14:paraId="37B265DE">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项目联系人：陈女士      联系电话：0591-62752801</w:t>
      </w:r>
    </w:p>
    <w:p w14:paraId="132587DD">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rPr>
        <w:t>四、答疑截止时间</w:t>
      </w:r>
    </w:p>
    <w:p w14:paraId="3B343443">
      <w:pPr>
        <w:adjustRightInd/>
        <w:snapToGrid/>
        <w:spacing w:before="150" w:after="0" w:line="480" w:lineRule="atLeast"/>
        <w:ind w:firstLine="48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投标人若要求澄清招标文件，应在获取招标文件截止时间后的2个工作日内提出，招标人将随时解答。</w:t>
      </w:r>
    </w:p>
    <w:p w14:paraId="2D11E11D">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rPr>
        <w:t>五、投标文件的要求及递交</w:t>
      </w:r>
    </w:p>
    <w:p w14:paraId="37044C76">
      <w:pPr>
        <w:adjustRightInd/>
        <w:snapToGrid/>
        <w:spacing w:before="150" w:after="0" w:line="480" w:lineRule="atLeast"/>
        <w:ind w:firstLine="48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1、投标文件正本</w:t>
      </w:r>
      <w:r>
        <w:rPr>
          <w:rFonts w:hint="eastAsia" w:ascii="宋体" w:hAnsi="宋体" w:eastAsia="宋体" w:cs="宋体"/>
          <w:bCs/>
          <w:color w:val="404040"/>
          <w:sz w:val="26"/>
          <w:szCs w:val="26"/>
          <w:highlight w:val="none"/>
          <w:u w:val="single"/>
        </w:rPr>
        <w:t>壹</w:t>
      </w:r>
      <w:r>
        <w:rPr>
          <w:rFonts w:hint="eastAsia" w:ascii="宋体" w:hAnsi="宋体" w:eastAsia="宋体" w:cs="宋体"/>
          <w:color w:val="404040"/>
          <w:sz w:val="26"/>
          <w:szCs w:val="26"/>
          <w:highlight w:val="none"/>
        </w:rPr>
        <w:t>份</w:t>
      </w:r>
      <w:r>
        <w:rPr>
          <w:rFonts w:ascii="宋体" w:hAnsi="宋体" w:eastAsia="宋体" w:cs="宋体"/>
          <w:color w:val="404040"/>
          <w:sz w:val="26"/>
          <w:szCs w:val="26"/>
          <w:highlight w:val="none"/>
        </w:rPr>
        <w:t>,</w:t>
      </w:r>
      <w:r>
        <w:rPr>
          <w:rFonts w:hint="eastAsia" w:ascii="宋体" w:hAnsi="宋体" w:eastAsia="宋体" w:cs="宋体"/>
          <w:color w:val="404040"/>
          <w:sz w:val="26"/>
          <w:szCs w:val="26"/>
          <w:highlight w:val="none"/>
        </w:rPr>
        <w:t>副本</w:t>
      </w:r>
      <w:r>
        <w:rPr>
          <w:rFonts w:hint="eastAsia" w:ascii="宋体" w:hAnsi="宋体" w:eastAsia="宋体" w:cs="宋体"/>
          <w:bCs/>
          <w:color w:val="404040"/>
          <w:sz w:val="26"/>
          <w:szCs w:val="26"/>
          <w:highlight w:val="none"/>
          <w:u w:val="single"/>
        </w:rPr>
        <w:t>壹</w:t>
      </w:r>
      <w:r>
        <w:rPr>
          <w:rFonts w:hint="eastAsia" w:ascii="宋体" w:hAnsi="宋体" w:eastAsia="宋体" w:cs="宋体"/>
          <w:color w:val="404040"/>
          <w:sz w:val="26"/>
          <w:szCs w:val="26"/>
          <w:highlight w:val="none"/>
        </w:rPr>
        <w:t>份胶装并密封加盖投标人公章。投标文件未胶装密封将导致其投标文件被拒绝。</w:t>
      </w:r>
    </w:p>
    <w:p w14:paraId="12650FDE">
      <w:pPr>
        <w:adjustRightInd/>
        <w:snapToGrid/>
        <w:spacing w:before="150" w:after="0" w:line="480" w:lineRule="atLeast"/>
        <w:ind w:firstLine="48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2、投标文件递交的截止时间：</w:t>
      </w:r>
      <w:r>
        <w:rPr>
          <w:rFonts w:hint="eastAsia" w:ascii="宋体" w:hAnsi="宋体" w:eastAsia="宋体" w:cs="宋体"/>
          <w:color w:val="404040"/>
          <w:sz w:val="26"/>
          <w:szCs w:val="26"/>
          <w:highlight w:val="none"/>
          <w:lang w:eastAsia="zh-CN"/>
        </w:rPr>
        <w:t>2026年</w:t>
      </w:r>
      <w:r>
        <w:rPr>
          <w:rFonts w:hint="eastAsia" w:ascii="宋体" w:hAnsi="宋体" w:eastAsia="宋体" w:cs="宋体"/>
          <w:color w:val="404040"/>
          <w:sz w:val="26"/>
          <w:szCs w:val="26"/>
          <w:highlight w:val="none"/>
          <w:lang w:val="en-US" w:eastAsia="zh-CN"/>
        </w:rPr>
        <w:t>10</w:t>
      </w:r>
      <w:r>
        <w:rPr>
          <w:rFonts w:hint="eastAsia" w:ascii="宋体" w:hAnsi="宋体" w:eastAsia="宋体" w:cs="宋体"/>
          <w:color w:val="404040"/>
          <w:sz w:val="26"/>
          <w:szCs w:val="26"/>
          <w:highlight w:val="none"/>
        </w:rPr>
        <w:t>月</w:t>
      </w:r>
      <w:r>
        <w:rPr>
          <w:rFonts w:hint="eastAsia" w:ascii="宋体" w:hAnsi="宋体" w:eastAsia="宋体" w:cs="宋体"/>
          <w:color w:val="404040"/>
          <w:sz w:val="26"/>
          <w:szCs w:val="26"/>
          <w:highlight w:val="none"/>
          <w:lang w:val="en-US" w:eastAsia="zh-CN"/>
        </w:rPr>
        <w:t>9</w:t>
      </w:r>
      <w:r>
        <w:rPr>
          <w:rFonts w:hint="eastAsia" w:ascii="宋体" w:hAnsi="宋体" w:eastAsia="宋体" w:cs="宋体"/>
          <w:color w:val="404040"/>
          <w:sz w:val="26"/>
          <w:szCs w:val="26"/>
          <w:highlight w:val="none"/>
        </w:rPr>
        <w:t>日</w:t>
      </w:r>
      <w:r>
        <w:rPr>
          <w:rFonts w:hint="eastAsia" w:ascii="宋体" w:hAnsi="宋体" w:eastAsia="宋体" w:cs="宋体"/>
          <w:color w:val="404040"/>
          <w:sz w:val="26"/>
          <w:szCs w:val="26"/>
          <w:highlight w:val="none"/>
          <w:lang w:val="en-US" w:eastAsia="zh-CN"/>
        </w:rPr>
        <w:t>09</w:t>
      </w:r>
      <w:r>
        <w:rPr>
          <w:rFonts w:hint="eastAsia" w:ascii="宋体" w:hAnsi="宋体" w:eastAsia="宋体" w:cs="宋体"/>
          <w:color w:val="404040"/>
          <w:sz w:val="26"/>
          <w:szCs w:val="26"/>
          <w:highlight w:val="none"/>
        </w:rPr>
        <w:t>:</w:t>
      </w:r>
      <w:r>
        <w:rPr>
          <w:rFonts w:hint="eastAsia" w:ascii="宋体" w:hAnsi="宋体" w:eastAsia="宋体" w:cs="宋体"/>
          <w:color w:val="404040"/>
          <w:sz w:val="26"/>
          <w:szCs w:val="26"/>
          <w:highlight w:val="none"/>
          <w:lang w:val="en-US" w:eastAsia="zh-CN"/>
        </w:rPr>
        <w:t>0</w:t>
      </w:r>
      <w:r>
        <w:rPr>
          <w:rFonts w:hint="eastAsia" w:ascii="宋体" w:hAnsi="宋体" w:eastAsia="宋体" w:cs="宋体"/>
          <w:color w:val="404040"/>
          <w:sz w:val="26"/>
          <w:szCs w:val="26"/>
          <w:highlight w:val="none"/>
        </w:rPr>
        <w:t>0，提交地点为福建省肿瘤医院总务科，未送达指定地点或逾期送达者拒收。</w:t>
      </w:r>
    </w:p>
    <w:p w14:paraId="462650B6">
      <w:pPr>
        <w:adjustRightInd/>
        <w:snapToGrid/>
        <w:spacing w:before="150" w:after="0" w:line="480" w:lineRule="atLeast"/>
        <w:jc w:val="both"/>
        <w:rPr>
          <w:rFonts w:hint="eastAsia" w:ascii="宋体" w:hAnsi="宋体" w:eastAsia="宋体" w:cs="宋体"/>
          <w:b/>
          <w:bCs/>
          <w:color w:val="404040"/>
          <w:sz w:val="26"/>
          <w:highlight w:val="none"/>
        </w:rPr>
      </w:pPr>
      <w:r>
        <w:rPr>
          <w:rFonts w:hint="eastAsia" w:ascii="宋体" w:hAnsi="宋体" w:eastAsia="宋体" w:cs="宋体"/>
          <w:b/>
          <w:bCs/>
          <w:color w:val="404040"/>
          <w:sz w:val="26"/>
          <w:highlight w:val="none"/>
        </w:rPr>
        <w:t>六、开标评标时间地点</w:t>
      </w:r>
    </w:p>
    <w:p w14:paraId="15731F69">
      <w:pPr>
        <w:adjustRightInd/>
        <w:snapToGrid/>
        <w:spacing w:before="150" w:after="0" w:line="480" w:lineRule="atLeast"/>
        <w:ind w:firstLine="390" w:firstLineChars="15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1、开标时间：</w:t>
      </w:r>
      <w:r>
        <w:rPr>
          <w:rFonts w:hint="eastAsia" w:ascii="宋体" w:hAnsi="宋体" w:eastAsia="宋体" w:cs="宋体"/>
          <w:color w:val="404040"/>
          <w:sz w:val="26"/>
          <w:szCs w:val="26"/>
          <w:highlight w:val="none"/>
          <w:lang w:eastAsia="zh-CN"/>
        </w:rPr>
        <w:t>2026年</w:t>
      </w:r>
      <w:r>
        <w:rPr>
          <w:rFonts w:hint="eastAsia" w:ascii="宋体" w:hAnsi="宋体" w:eastAsia="宋体" w:cs="宋体"/>
          <w:color w:val="404040"/>
          <w:sz w:val="26"/>
          <w:szCs w:val="26"/>
          <w:highlight w:val="none"/>
          <w:lang w:val="en-US" w:eastAsia="zh-CN"/>
        </w:rPr>
        <w:t>10</w:t>
      </w:r>
      <w:r>
        <w:rPr>
          <w:rFonts w:hint="eastAsia" w:ascii="宋体" w:hAnsi="宋体" w:eastAsia="宋体" w:cs="宋体"/>
          <w:color w:val="404040"/>
          <w:sz w:val="26"/>
          <w:szCs w:val="26"/>
          <w:highlight w:val="none"/>
        </w:rPr>
        <w:t>月</w:t>
      </w:r>
      <w:r>
        <w:rPr>
          <w:rFonts w:hint="eastAsia" w:ascii="宋体" w:hAnsi="宋体" w:eastAsia="宋体" w:cs="宋体"/>
          <w:color w:val="404040"/>
          <w:sz w:val="26"/>
          <w:szCs w:val="26"/>
          <w:highlight w:val="none"/>
          <w:lang w:val="en-US" w:eastAsia="zh-CN"/>
        </w:rPr>
        <w:t>9</w:t>
      </w:r>
      <w:r>
        <w:rPr>
          <w:rFonts w:hint="eastAsia" w:ascii="宋体" w:hAnsi="宋体" w:eastAsia="宋体" w:cs="宋体"/>
          <w:color w:val="404040"/>
          <w:sz w:val="26"/>
          <w:szCs w:val="26"/>
          <w:highlight w:val="none"/>
        </w:rPr>
        <w:t>日</w:t>
      </w:r>
      <w:r>
        <w:rPr>
          <w:rFonts w:hint="eastAsia" w:ascii="宋体" w:hAnsi="宋体" w:eastAsia="宋体" w:cs="宋体"/>
          <w:color w:val="404040"/>
          <w:sz w:val="26"/>
          <w:szCs w:val="26"/>
          <w:highlight w:val="none"/>
          <w:lang w:val="en-US" w:eastAsia="zh-CN"/>
        </w:rPr>
        <w:t>09</w:t>
      </w:r>
      <w:r>
        <w:rPr>
          <w:rFonts w:hint="eastAsia" w:ascii="宋体" w:hAnsi="宋体" w:eastAsia="宋体" w:cs="宋体"/>
          <w:color w:val="404040"/>
          <w:sz w:val="26"/>
          <w:szCs w:val="26"/>
          <w:highlight w:val="none"/>
        </w:rPr>
        <w:t>:</w:t>
      </w:r>
      <w:r>
        <w:rPr>
          <w:rFonts w:hint="eastAsia" w:ascii="宋体" w:hAnsi="宋体" w:eastAsia="宋体" w:cs="宋体"/>
          <w:color w:val="404040"/>
          <w:sz w:val="26"/>
          <w:szCs w:val="26"/>
          <w:highlight w:val="none"/>
          <w:lang w:val="en-US" w:eastAsia="zh-CN"/>
        </w:rPr>
        <w:t>0</w:t>
      </w:r>
      <w:r>
        <w:rPr>
          <w:rFonts w:hint="eastAsia" w:ascii="宋体" w:hAnsi="宋体" w:eastAsia="宋体" w:cs="宋体"/>
          <w:color w:val="404040"/>
          <w:sz w:val="26"/>
          <w:szCs w:val="26"/>
          <w:highlight w:val="none"/>
        </w:rPr>
        <w:t>0时</w:t>
      </w:r>
    </w:p>
    <w:p w14:paraId="57E1BB62">
      <w:pPr>
        <w:adjustRightInd/>
        <w:snapToGrid/>
        <w:spacing w:before="150" w:after="0" w:line="480" w:lineRule="atLeast"/>
        <w:ind w:firstLine="48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2、评标时间：开标后即开始评标。</w:t>
      </w:r>
    </w:p>
    <w:p w14:paraId="5ED736C8">
      <w:pPr>
        <w:adjustRightInd/>
        <w:snapToGrid/>
        <w:spacing w:before="150" w:after="0" w:line="480" w:lineRule="atLeast"/>
        <w:ind w:firstLine="520" w:firstLineChars="20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3、地点：福建省肿瘤医院科研楼一楼总务科</w:t>
      </w:r>
    </w:p>
    <w:p w14:paraId="4CCDC357">
      <w:pPr>
        <w:adjustRightInd/>
        <w:snapToGrid/>
        <w:spacing w:before="150" w:after="0" w:line="480" w:lineRule="atLeast"/>
        <w:ind w:firstLine="48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备注：</w:t>
      </w:r>
    </w:p>
    <w:p w14:paraId="4FB81CA8">
      <w:pPr>
        <w:spacing w:before="150" w:line="560" w:lineRule="exact"/>
        <w:ind w:firstLine="520" w:firstLineChars="200"/>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1. 未参加报名的潜在投标人，其投标文件将被拒绝。</w:t>
      </w:r>
    </w:p>
    <w:p w14:paraId="14480AB7">
      <w:pPr>
        <w:spacing w:before="150" w:line="560" w:lineRule="exact"/>
        <w:ind w:firstLine="520" w:firstLineChars="200"/>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2.若有涉及招标文件内容更正，请各潜在投标人密切关注福建省肿瘤医院官网通知，以最新公告为准。</w:t>
      </w:r>
    </w:p>
    <w:p w14:paraId="69EE1DB5">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lang w:val="en-US" w:eastAsia="zh-CN"/>
        </w:rPr>
        <w:t>七</w:t>
      </w:r>
      <w:r>
        <w:rPr>
          <w:rFonts w:hint="eastAsia" w:ascii="宋体" w:hAnsi="宋体" w:eastAsia="宋体" w:cs="宋体"/>
          <w:b/>
          <w:bCs/>
          <w:color w:val="404040"/>
          <w:sz w:val="26"/>
          <w:highlight w:val="none"/>
        </w:rPr>
        <w:t>、评标原则及办法</w:t>
      </w:r>
    </w:p>
    <w:p w14:paraId="7D09D0D3">
      <w:pPr>
        <w:adjustRightInd/>
        <w:snapToGrid/>
        <w:spacing w:before="150" w:after="0" w:line="480" w:lineRule="atLeast"/>
        <w:ind w:firstLine="48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1、评标活动遵循公平、公正、科学和择优的原则。</w:t>
      </w:r>
    </w:p>
    <w:p w14:paraId="1869F87E">
      <w:pPr>
        <w:adjustRightInd/>
        <w:snapToGrid/>
        <w:spacing w:before="150" w:after="0" w:line="480" w:lineRule="atLeast"/>
        <w:ind w:firstLine="480"/>
        <w:jc w:val="both"/>
        <w:rPr>
          <w:rFonts w:hint="eastAsia" w:ascii="宋体" w:hAnsi="宋体" w:eastAsia="宋体" w:cs="宋体"/>
          <w:color w:val="404040"/>
          <w:sz w:val="26"/>
          <w:szCs w:val="26"/>
          <w:highlight w:val="none"/>
        </w:rPr>
      </w:pPr>
      <w:r>
        <w:rPr>
          <w:rFonts w:hint="eastAsia" w:ascii="宋体" w:hAnsi="宋体" w:eastAsia="宋体" w:cs="宋体"/>
          <w:color w:val="404040"/>
          <w:sz w:val="26"/>
          <w:szCs w:val="26"/>
          <w:highlight w:val="none"/>
        </w:rPr>
        <w:t>2、评标方法：</w:t>
      </w:r>
      <w:r>
        <w:rPr>
          <w:rFonts w:hint="eastAsia" w:ascii="宋体" w:hAnsi="宋体" w:eastAsia="宋体" w:cs="宋体"/>
          <w:color w:val="404040"/>
          <w:sz w:val="26"/>
          <w:szCs w:val="26"/>
          <w:highlight w:val="none"/>
          <w:lang w:eastAsia="zh-CN"/>
        </w:rPr>
        <w:t>竞争性谈判</w:t>
      </w:r>
      <w:r>
        <w:rPr>
          <w:rFonts w:hint="eastAsia" w:ascii="宋体" w:hAnsi="宋体" w:eastAsia="宋体" w:cs="宋体"/>
          <w:color w:val="404040"/>
          <w:sz w:val="26"/>
          <w:szCs w:val="26"/>
          <w:highlight w:val="none"/>
        </w:rPr>
        <w:t>。</w:t>
      </w:r>
    </w:p>
    <w:p w14:paraId="2F9BF65A">
      <w:pPr>
        <w:adjustRightInd/>
        <w:snapToGrid/>
        <w:spacing w:before="150" w:after="0" w:line="480" w:lineRule="atLeast"/>
        <w:ind w:firstLine="520" w:firstLineChars="20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3、投标人之间有相互串通投标、弄虚作假等违规行为者，将作废标处理，并在我院未来的项目招标中被拒绝接受投标。</w:t>
      </w:r>
    </w:p>
    <w:p w14:paraId="6FAC5F29">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lang w:val="en-US" w:eastAsia="zh-CN"/>
        </w:rPr>
        <w:t>八</w:t>
      </w:r>
      <w:r>
        <w:rPr>
          <w:rFonts w:hint="eastAsia" w:ascii="宋体" w:hAnsi="宋体" w:eastAsia="宋体" w:cs="宋体"/>
          <w:b/>
          <w:bCs/>
          <w:color w:val="404040"/>
          <w:sz w:val="26"/>
          <w:highlight w:val="none"/>
        </w:rPr>
        <w:t>、合同条款内容及签订</w:t>
      </w:r>
    </w:p>
    <w:p w14:paraId="50A83F00">
      <w:pPr>
        <w:adjustRightInd/>
        <w:snapToGrid/>
        <w:spacing w:before="150" w:after="0" w:line="480" w:lineRule="atLeast"/>
        <w:ind w:firstLine="48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1、合同专用条款内容依照国家规范文本，合同通用条款内容解释依照国家规</w:t>
      </w:r>
      <w:r>
        <w:rPr>
          <w:rFonts w:hint="eastAsia" w:ascii="宋体" w:hAnsi="宋体" w:eastAsia="宋体" w:cs="宋体"/>
          <w:color w:val="404040"/>
          <w:sz w:val="28"/>
          <w:szCs w:val="28"/>
          <w:highlight w:val="none"/>
        </w:rPr>
        <w:t>范文本。</w:t>
      </w:r>
    </w:p>
    <w:p w14:paraId="5AA87F46">
      <w:pPr>
        <w:adjustRightInd/>
        <w:snapToGrid/>
        <w:spacing w:before="150" w:after="0" w:line="480" w:lineRule="atLeast"/>
        <w:ind w:firstLine="48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2、合同签订：中标人在接到中标通知后3天内，应派代表与招标人联系，商讨签订合同事宜。</w:t>
      </w:r>
    </w:p>
    <w:p w14:paraId="10762403">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lang w:val="en-US" w:eastAsia="zh-CN"/>
        </w:rPr>
        <w:t>九</w:t>
      </w:r>
      <w:r>
        <w:rPr>
          <w:rFonts w:hint="eastAsia" w:ascii="宋体" w:hAnsi="宋体" w:eastAsia="宋体" w:cs="宋体"/>
          <w:b/>
          <w:bCs/>
          <w:color w:val="404040"/>
          <w:sz w:val="26"/>
          <w:highlight w:val="none"/>
        </w:rPr>
        <w:t>、其他未详尽事宜</w:t>
      </w:r>
    </w:p>
    <w:p w14:paraId="3A3F29F4">
      <w:pPr>
        <w:adjustRightInd/>
        <w:snapToGrid/>
        <w:spacing w:before="150" w:after="0" w:line="480" w:lineRule="atLeast"/>
        <w:ind w:firstLine="480"/>
        <w:jc w:val="both"/>
        <w:rPr>
          <w:rFonts w:hint="eastAsia" w:ascii="宋体" w:hAnsi="宋体" w:eastAsia="宋体" w:cs="宋体"/>
          <w:color w:val="404040"/>
          <w:sz w:val="28"/>
          <w:szCs w:val="28"/>
          <w:highlight w:val="none"/>
        </w:rPr>
      </w:pPr>
      <w:r>
        <w:rPr>
          <w:rFonts w:hint="eastAsia" w:ascii="宋体" w:hAnsi="宋体" w:eastAsia="宋体" w:cs="宋体"/>
          <w:color w:val="404040"/>
          <w:sz w:val="26"/>
          <w:szCs w:val="26"/>
          <w:highlight w:val="none"/>
        </w:rPr>
        <w:t>依照国家政府采购和招投标有关规定。</w:t>
      </w:r>
    </w:p>
    <w:p w14:paraId="7D7E71C3">
      <w:pPr>
        <w:adjustRightInd/>
        <w:snapToGrid/>
        <w:spacing w:before="150" w:after="0" w:line="480" w:lineRule="atLeast"/>
        <w:jc w:val="both"/>
        <w:rPr>
          <w:rFonts w:hint="eastAsia" w:ascii="宋体" w:hAnsi="宋体" w:eastAsia="宋体" w:cs="宋体"/>
          <w:color w:val="404040"/>
          <w:sz w:val="28"/>
          <w:szCs w:val="28"/>
          <w:highlight w:val="none"/>
        </w:rPr>
      </w:pPr>
      <w:r>
        <w:rPr>
          <w:rFonts w:hint="eastAsia" w:ascii="宋体" w:hAnsi="宋体" w:eastAsia="宋体" w:cs="宋体"/>
          <w:b/>
          <w:bCs/>
          <w:color w:val="404040"/>
          <w:sz w:val="26"/>
          <w:highlight w:val="none"/>
        </w:rPr>
        <w:t>十、监督电话</w:t>
      </w:r>
      <w:bookmarkStart w:id="2" w:name="_GoBack"/>
      <w:bookmarkEnd w:id="2"/>
    </w:p>
    <w:p w14:paraId="72A8FCC5">
      <w:pPr>
        <w:adjustRightInd/>
        <w:snapToGrid/>
        <w:spacing w:before="150" w:after="0" w:line="480" w:lineRule="atLeast"/>
        <w:ind w:firstLine="480"/>
        <w:jc w:val="both"/>
        <w:rPr>
          <w:rFonts w:hint="eastAsia" w:ascii="宋体" w:hAnsi="宋体" w:eastAsia="宋体" w:cs="宋体"/>
          <w:color w:val="404040"/>
          <w:sz w:val="26"/>
          <w:szCs w:val="26"/>
          <w:highlight w:val="none"/>
        </w:rPr>
      </w:pPr>
      <w:r>
        <w:rPr>
          <w:rFonts w:ascii="宋体" w:hAnsi="宋体" w:eastAsia="宋体" w:cs="宋体"/>
          <w:color w:val="404040"/>
          <w:sz w:val="26"/>
          <w:szCs w:val="26"/>
          <w:highlight w:val="none"/>
        </w:rPr>
        <w:t>在采购报名、采购调研等采购过程中有任何异议，可联系我院监督科室。电话：83660063-8407；83660063-8467。</w:t>
      </w:r>
    </w:p>
    <w:p w14:paraId="55DAB281">
      <w:pPr>
        <w:pStyle w:val="5"/>
        <w:rPr>
          <w:rFonts w:hint="eastAsia" w:ascii="宋体" w:hAnsi="宋体" w:eastAsia="宋体" w:cs="仿宋_GB2312"/>
          <w:b/>
          <w:sz w:val="24"/>
          <w:szCs w:val="24"/>
          <w:highlight w:val="none"/>
        </w:rPr>
      </w:pPr>
    </w:p>
    <w:p w14:paraId="3DBFC1A5">
      <w:pPr>
        <w:pStyle w:val="5"/>
        <w:rPr>
          <w:rFonts w:ascii="宋体" w:hAnsi="宋体" w:eastAsia="宋体" w:cs="仿宋_GB2312"/>
          <w:b/>
          <w:sz w:val="24"/>
          <w:szCs w:val="24"/>
          <w:highlight w:val="none"/>
        </w:rPr>
      </w:pPr>
    </w:p>
    <w:p w14:paraId="607B5993">
      <w:pPr>
        <w:adjustRightInd/>
        <w:snapToGrid/>
        <w:spacing w:after="0"/>
        <w:rPr>
          <w:rFonts w:ascii="宋体" w:hAnsi="宋体" w:eastAsia="宋体" w:cs="仿宋_GB2312"/>
          <w:b/>
          <w:sz w:val="24"/>
          <w:szCs w:val="24"/>
          <w:highlight w:val="none"/>
        </w:rPr>
      </w:pPr>
      <w:r>
        <w:rPr>
          <w:rFonts w:ascii="宋体" w:hAnsi="宋体" w:eastAsia="宋体" w:cs="仿宋_GB2312"/>
          <w:b/>
          <w:sz w:val="24"/>
          <w:szCs w:val="24"/>
          <w:highlight w:val="none"/>
        </w:rPr>
        <w:br w:type="page"/>
      </w:r>
    </w:p>
    <w:p w14:paraId="1D02C7F3">
      <w:pPr>
        <w:widowControl w:val="0"/>
        <w:adjustRightInd/>
        <w:snapToGrid/>
        <w:spacing w:after="0" w:line="590" w:lineRule="exact"/>
        <w:jc w:val="center"/>
        <w:rPr>
          <w:rFonts w:ascii="宋体" w:hAnsi="宋体" w:eastAsia="宋体" w:cs="宋体"/>
          <w:color w:val="404040"/>
          <w:sz w:val="26"/>
          <w:szCs w:val="26"/>
          <w:highlight w:val="none"/>
        </w:rPr>
      </w:pPr>
      <w:r>
        <w:rPr>
          <w:rFonts w:ascii="宋体" w:hAnsi="宋体" w:eastAsia="宋体" w:cs="宋体"/>
          <w:color w:val="404040"/>
          <w:sz w:val="26"/>
          <w:szCs w:val="26"/>
          <w:highlight w:val="none"/>
        </w:rPr>
        <w:t>报价内容一览</w:t>
      </w:r>
    </w:p>
    <w:tbl>
      <w:tblPr>
        <w:tblStyle w:val="8"/>
        <w:tblW w:w="97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21"/>
        <w:gridCol w:w="1438"/>
        <w:gridCol w:w="1082"/>
        <w:gridCol w:w="1436"/>
        <w:gridCol w:w="1500"/>
        <w:gridCol w:w="1500"/>
      </w:tblGrid>
      <w:tr w14:paraId="3160F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821" w:type="dxa"/>
            <w:shd w:val="clear" w:color="FFFFFF" w:fill="auto"/>
            <w:noWrap w:val="0"/>
            <w:vAlign w:val="center"/>
          </w:tcPr>
          <w:p w14:paraId="3EDF765B">
            <w:pPr>
              <w:widowControl w:val="0"/>
              <w:adjustRightInd/>
              <w:snapToGrid/>
              <w:spacing w:after="0" w:line="340" w:lineRule="exact"/>
              <w:jc w:val="center"/>
              <w:rPr>
                <w:rFonts w:ascii="宋体" w:hAnsi="宋体" w:eastAsia="宋体" w:cs="宋体"/>
                <w:color w:val="404040"/>
                <w:sz w:val="26"/>
                <w:szCs w:val="26"/>
                <w:highlight w:val="none"/>
              </w:rPr>
            </w:pPr>
            <w:r>
              <w:rPr>
                <w:rFonts w:ascii="宋体" w:hAnsi="宋体" w:eastAsia="宋体" w:cs="宋体"/>
                <w:color w:val="404040"/>
                <w:sz w:val="26"/>
                <w:szCs w:val="26"/>
                <w:highlight w:val="none"/>
              </w:rPr>
              <w:t>项目名称</w:t>
            </w:r>
          </w:p>
        </w:tc>
        <w:tc>
          <w:tcPr>
            <w:tcW w:w="1438" w:type="dxa"/>
            <w:shd w:val="clear" w:color="FFFFFF" w:fill="auto"/>
            <w:noWrap w:val="0"/>
            <w:vAlign w:val="center"/>
          </w:tcPr>
          <w:p w14:paraId="6DBA27DE">
            <w:pPr>
              <w:widowControl w:val="0"/>
              <w:adjustRightInd/>
              <w:snapToGrid/>
              <w:spacing w:after="0" w:line="340" w:lineRule="exact"/>
              <w:jc w:val="center"/>
              <w:rPr>
                <w:rFonts w:ascii="宋体" w:hAnsi="宋体" w:eastAsia="宋体" w:cs="宋体"/>
                <w:color w:val="404040"/>
                <w:sz w:val="26"/>
                <w:szCs w:val="26"/>
                <w:highlight w:val="none"/>
              </w:rPr>
            </w:pPr>
            <w:r>
              <w:rPr>
                <w:rFonts w:ascii="宋体" w:hAnsi="宋体" w:eastAsia="宋体" w:cs="宋体"/>
                <w:color w:val="404040"/>
                <w:sz w:val="26"/>
                <w:szCs w:val="26"/>
                <w:highlight w:val="none"/>
              </w:rPr>
              <w:t>招标方式</w:t>
            </w:r>
          </w:p>
        </w:tc>
        <w:tc>
          <w:tcPr>
            <w:tcW w:w="1082" w:type="dxa"/>
            <w:shd w:val="clear" w:color="FFFFFF" w:fill="auto"/>
            <w:noWrap w:val="0"/>
            <w:vAlign w:val="center"/>
          </w:tcPr>
          <w:p w14:paraId="0CE72CF4">
            <w:pPr>
              <w:widowControl w:val="0"/>
              <w:adjustRightInd/>
              <w:snapToGrid/>
              <w:spacing w:after="0" w:line="340" w:lineRule="exact"/>
              <w:jc w:val="center"/>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rPr>
              <w:t>预算</w:t>
            </w:r>
            <w:r>
              <w:rPr>
                <w:rFonts w:ascii="宋体" w:hAnsi="宋体" w:eastAsia="宋体" w:cs="宋体"/>
                <w:color w:val="404040"/>
                <w:sz w:val="26"/>
                <w:szCs w:val="26"/>
                <w:highlight w:val="none"/>
              </w:rPr>
              <w:t>价</w:t>
            </w:r>
          </w:p>
        </w:tc>
        <w:tc>
          <w:tcPr>
            <w:tcW w:w="1436" w:type="dxa"/>
            <w:shd w:val="clear" w:color="FFFFFF" w:fill="auto"/>
            <w:noWrap w:val="0"/>
            <w:vAlign w:val="center"/>
          </w:tcPr>
          <w:p w14:paraId="1D7B8F6E">
            <w:pPr>
              <w:widowControl w:val="0"/>
              <w:adjustRightInd/>
              <w:snapToGrid/>
              <w:spacing w:after="0" w:line="340" w:lineRule="exact"/>
              <w:jc w:val="center"/>
              <w:rPr>
                <w:rFonts w:ascii="宋体" w:hAnsi="宋体" w:eastAsia="宋体" w:cs="宋体"/>
                <w:color w:val="404040"/>
                <w:sz w:val="26"/>
                <w:szCs w:val="26"/>
                <w:highlight w:val="none"/>
              </w:rPr>
            </w:pPr>
            <w:r>
              <w:rPr>
                <w:rFonts w:ascii="宋体" w:hAnsi="宋体" w:eastAsia="宋体" w:cs="宋体"/>
                <w:color w:val="404040"/>
                <w:sz w:val="26"/>
                <w:szCs w:val="26"/>
                <w:highlight w:val="none"/>
              </w:rPr>
              <w:t>数量</w:t>
            </w:r>
          </w:p>
        </w:tc>
        <w:tc>
          <w:tcPr>
            <w:tcW w:w="1500" w:type="dxa"/>
            <w:shd w:val="clear" w:color="FFFFFF" w:fill="auto"/>
            <w:noWrap w:val="0"/>
            <w:vAlign w:val="center"/>
          </w:tcPr>
          <w:p w14:paraId="32091D71">
            <w:pPr>
              <w:widowControl w:val="0"/>
              <w:adjustRightInd/>
              <w:snapToGrid/>
              <w:spacing w:after="0" w:line="340" w:lineRule="exact"/>
              <w:jc w:val="center"/>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rPr>
              <w:t>控制价</w:t>
            </w:r>
          </w:p>
        </w:tc>
        <w:tc>
          <w:tcPr>
            <w:tcW w:w="1500" w:type="dxa"/>
            <w:shd w:val="clear" w:color="FFFFFF" w:fill="auto"/>
            <w:noWrap w:val="0"/>
            <w:vAlign w:val="center"/>
          </w:tcPr>
          <w:p w14:paraId="5B1E5E8D">
            <w:pPr>
              <w:widowControl w:val="0"/>
              <w:adjustRightInd/>
              <w:snapToGrid/>
              <w:spacing w:after="0" w:line="340" w:lineRule="exact"/>
              <w:jc w:val="center"/>
              <w:rPr>
                <w:rFonts w:ascii="宋体" w:hAnsi="宋体" w:eastAsia="宋体" w:cs="宋体"/>
                <w:color w:val="404040"/>
                <w:sz w:val="26"/>
                <w:szCs w:val="26"/>
                <w:highlight w:val="none"/>
              </w:rPr>
            </w:pPr>
            <w:r>
              <w:rPr>
                <w:rFonts w:ascii="宋体" w:hAnsi="宋体" w:eastAsia="宋体" w:cs="宋体"/>
                <w:color w:val="404040"/>
                <w:sz w:val="26"/>
                <w:szCs w:val="26"/>
                <w:highlight w:val="none"/>
              </w:rPr>
              <w:t>要求</w:t>
            </w:r>
          </w:p>
        </w:tc>
      </w:tr>
      <w:tr w14:paraId="5459D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6" w:hRule="atLeast"/>
          <w:jc w:val="center"/>
        </w:trPr>
        <w:tc>
          <w:tcPr>
            <w:tcW w:w="2821" w:type="dxa"/>
            <w:noWrap w:val="0"/>
            <w:vAlign w:val="center"/>
          </w:tcPr>
          <w:p w14:paraId="391097A6">
            <w:pPr>
              <w:spacing w:line="340" w:lineRule="exact"/>
              <w:jc w:val="center"/>
              <w:rPr>
                <w:rFonts w:ascii="宋体" w:hAnsi="宋体" w:eastAsia="宋体" w:cs="宋体"/>
                <w:color w:val="404040"/>
                <w:sz w:val="26"/>
                <w:szCs w:val="26"/>
                <w:highlight w:val="none"/>
              </w:rPr>
            </w:pPr>
            <w:r>
              <w:rPr>
                <w:rFonts w:hint="eastAsia" w:ascii="宋体" w:hAnsi="宋体" w:eastAsia="宋体" w:cs="宋体"/>
                <w:color w:val="404040"/>
                <w:sz w:val="26"/>
                <w:szCs w:val="26"/>
                <w:highlight w:val="none"/>
              </w:rPr>
              <w:t>福建省肿瘤医院布类洗涤服务</w:t>
            </w:r>
          </w:p>
        </w:tc>
        <w:tc>
          <w:tcPr>
            <w:tcW w:w="1438" w:type="dxa"/>
            <w:noWrap w:val="0"/>
            <w:vAlign w:val="center"/>
          </w:tcPr>
          <w:p w14:paraId="6AECB058">
            <w:pPr>
              <w:spacing w:line="340" w:lineRule="exact"/>
              <w:jc w:val="center"/>
              <w:rPr>
                <w:rFonts w:hint="default" w:ascii="宋体" w:hAnsi="宋体" w:eastAsia="宋体" w:cs="宋体"/>
                <w:i/>
                <w:iCs/>
                <w:color w:val="404040"/>
                <w:sz w:val="26"/>
                <w:szCs w:val="26"/>
                <w:highlight w:val="none"/>
                <w:lang w:val="en-US" w:eastAsia="zh-CN"/>
              </w:rPr>
            </w:pPr>
            <w:r>
              <w:rPr>
                <w:rFonts w:hint="eastAsia" w:ascii="宋体" w:hAnsi="宋体" w:eastAsia="宋体" w:cs="宋体"/>
                <w:color w:val="404040"/>
                <w:sz w:val="26"/>
                <w:szCs w:val="26"/>
                <w:highlight w:val="none"/>
                <w:lang w:val="en-US" w:eastAsia="zh-CN"/>
              </w:rPr>
              <w:t>竞争性谈判</w:t>
            </w:r>
          </w:p>
        </w:tc>
        <w:tc>
          <w:tcPr>
            <w:tcW w:w="1082" w:type="dxa"/>
            <w:noWrap w:val="0"/>
            <w:vAlign w:val="center"/>
          </w:tcPr>
          <w:p w14:paraId="55E424BD">
            <w:pPr>
              <w:spacing w:line="340" w:lineRule="exact"/>
              <w:jc w:val="center"/>
              <w:rPr>
                <w:rFonts w:hint="default" w:ascii="宋体" w:hAnsi="宋体" w:eastAsia="宋体" w:cs="宋体"/>
                <w:color w:val="404040"/>
                <w:sz w:val="26"/>
                <w:szCs w:val="26"/>
                <w:highlight w:val="none"/>
                <w:lang w:val="en-US"/>
              </w:rPr>
            </w:pPr>
            <w:r>
              <w:rPr>
                <w:rFonts w:hint="eastAsia" w:ascii="宋体" w:hAnsi="宋体" w:eastAsia="宋体" w:cs="宋体"/>
                <w:color w:val="404040"/>
                <w:sz w:val="26"/>
                <w:szCs w:val="26"/>
                <w:highlight w:val="none"/>
                <w:lang w:val="en-US" w:eastAsia="zh-CN"/>
              </w:rPr>
              <w:t>48万元</w:t>
            </w:r>
          </w:p>
        </w:tc>
        <w:tc>
          <w:tcPr>
            <w:tcW w:w="1436" w:type="dxa"/>
            <w:noWrap w:val="0"/>
            <w:vAlign w:val="center"/>
          </w:tcPr>
          <w:p w14:paraId="476574B7">
            <w:pPr>
              <w:spacing w:line="340" w:lineRule="exact"/>
              <w:jc w:val="center"/>
              <w:rPr>
                <w:rFonts w:hint="default" w:ascii="宋体" w:hAnsi="宋体" w:eastAsia="宋体" w:cs="宋体"/>
                <w:color w:val="404040"/>
                <w:sz w:val="26"/>
                <w:szCs w:val="26"/>
                <w:highlight w:val="none"/>
                <w:lang w:val="en-US" w:eastAsia="zh-CN"/>
              </w:rPr>
            </w:pPr>
            <w:r>
              <w:rPr>
                <w:rFonts w:hint="eastAsia" w:ascii="宋体" w:hAnsi="宋体" w:eastAsia="宋体" w:cs="宋体"/>
                <w:color w:val="404040"/>
                <w:sz w:val="26"/>
                <w:szCs w:val="26"/>
                <w:highlight w:val="none"/>
                <w:lang w:val="en-US" w:eastAsia="zh-CN"/>
              </w:rPr>
              <w:t>2个月</w:t>
            </w:r>
          </w:p>
        </w:tc>
        <w:tc>
          <w:tcPr>
            <w:tcW w:w="1500" w:type="dxa"/>
            <w:noWrap w:val="0"/>
            <w:vAlign w:val="center"/>
          </w:tcPr>
          <w:p w14:paraId="30FD8E09">
            <w:pPr>
              <w:spacing w:line="340" w:lineRule="exact"/>
              <w:jc w:val="center"/>
              <w:rPr>
                <w:rFonts w:hint="default" w:ascii="宋体" w:hAnsi="宋体" w:eastAsia="宋体" w:cs="宋体"/>
                <w:color w:val="404040"/>
                <w:sz w:val="26"/>
                <w:szCs w:val="26"/>
                <w:highlight w:val="none"/>
                <w:lang w:val="en-US" w:eastAsia="zh-CN"/>
              </w:rPr>
            </w:pPr>
            <w:r>
              <w:rPr>
                <w:rFonts w:hint="eastAsia" w:ascii="宋体" w:hAnsi="宋体" w:eastAsia="宋体" w:cs="宋体"/>
                <w:color w:val="404040"/>
                <w:sz w:val="26"/>
                <w:szCs w:val="26"/>
                <w:highlight w:val="none"/>
                <w:lang w:val="en-US" w:eastAsia="zh-CN"/>
              </w:rPr>
              <w:t>48万元</w:t>
            </w:r>
          </w:p>
        </w:tc>
        <w:tc>
          <w:tcPr>
            <w:tcW w:w="1500" w:type="dxa"/>
            <w:noWrap w:val="0"/>
            <w:vAlign w:val="center"/>
          </w:tcPr>
          <w:p w14:paraId="548D6479">
            <w:pPr>
              <w:spacing w:line="340" w:lineRule="exact"/>
              <w:jc w:val="center"/>
              <w:rPr>
                <w:rFonts w:ascii="宋体" w:hAnsi="宋体" w:eastAsia="宋体" w:cs="宋体"/>
                <w:color w:val="404040"/>
                <w:sz w:val="26"/>
                <w:szCs w:val="26"/>
                <w:highlight w:val="none"/>
              </w:rPr>
            </w:pPr>
            <w:r>
              <w:rPr>
                <w:rFonts w:ascii="宋体" w:hAnsi="宋体" w:eastAsia="宋体" w:cs="宋体"/>
                <w:color w:val="404040"/>
                <w:sz w:val="26"/>
                <w:szCs w:val="26"/>
                <w:highlight w:val="none"/>
              </w:rPr>
              <w:t>详见附件</w:t>
            </w:r>
          </w:p>
        </w:tc>
      </w:tr>
    </w:tbl>
    <w:p w14:paraId="48DCFB24">
      <w:pPr>
        <w:pStyle w:val="5"/>
        <w:rPr>
          <w:rFonts w:ascii="宋体" w:hAnsi="宋体" w:eastAsia="宋体" w:cs="宋体"/>
          <w:color w:val="404040"/>
          <w:sz w:val="26"/>
          <w:szCs w:val="26"/>
          <w:highlight w:val="none"/>
        </w:rPr>
      </w:pPr>
      <w:r>
        <w:rPr>
          <w:rFonts w:ascii="宋体" w:hAnsi="宋体" w:eastAsia="宋体" w:cs="宋体"/>
          <w:color w:val="404040"/>
          <w:sz w:val="26"/>
          <w:szCs w:val="26"/>
          <w:highlight w:val="none"/>
        </w:rPr>
        <w:t>备注：</w:t>
      </w:r>
      <w:r>
        <w:rPr>
          <w:rFonts w:hint="eastAsia" w:ascii="宋体" w:hAnsi="宋体" w:eastAsia="宋体" w:cs="宋体"/>
          <w:color w:val="404040"/>
          <w:sz w:val="26"/>
          <w:szCs w:val="26"/>
          <w:highlight w:val="none"/>
        </w:rPr>
        <w:t>1、</w:t>
      </w:r>
      <w:r>
        <w:rPr>
          <w:rFonts w:ascii="宋体" w:hAnsi="宋体" w:eastAsia="宋体" w:cs="宋体"/>
          <w:color w:val="404040"/>
          <w:sz w:val="26"/>
          <w:szCs w:val="26"/>
          <w:highlight w:val="none"/>
        </w:rPr>
        <w:t>如双方对招标内容产生歧义，最终解释权归采购人。</w:t>
      </w:r>
    </w:p>
    <w:p w14:paraId="0C55D149">
      <w:pPr>
        <w:pStyle w:val="5"/>
        <w:numPr>
          <w:ilvl w:val="0"/>
          <w:numId w:val="3"/>
        </w:numPr>
        <w:rPr>
          <w:rFonts w:hint="default" w:ascii="宋体" w:hAnsi="宋体" w:eastAsia="宋体" w:cs="宋体"/>
          <w:color w:val="404040"/>
          <w:sz w:val="26"/>
          <w:szCs w:val="26"/>
          <w:highlight w:val="none"/>
          <w:lang w:val="en-US" w:eastAsia="zh-CN"/>
        </w:rPr>
      </w:pPr>
      <w:r>
        <w:rPr>
          <w:rFonts w:hint="eastAsia" w:ascii="宋体" w:hAnsi="宋体" w:eastAsia="宋体" w:cs="宋体"/>
          <w:color w:val="404040"/>
          <w:sz w:val="26"/>
          <w:szCs w:val="26"/>
          <w:highlight w:val="none"/>
          <w:lang w:val="en-US" w:eastAsia="zh-CN"/>
        </w:rPr>
        <w:t>服务期预估2个月，费用据实结算。</w:t>
      </w:r>
    </w:p>
    <w:p w14:paraId="6A9D2355">
      <w:pPr>
        <w:rPr>
          <w:rFonts w:ascii="宋体" w:hAnsi="宋体" w:cs="宋体"/>
          <w:bCs/>
          <w:sz w:val="26"/>
          <w:szCs w:val="26"/>
          <w:highlight w:val="none"/>
        </w:rPr>
      </w:pPr>
      <w:r>
        <w:rPr>
          <w:rFonts w:ascii="宋体" w:hAnsi="宋体" w:cs="宋体"/>
          <w:bCs/>
          <w:sz w:val="26"/>
          <w:szCs w:val="26"/>
          <w:highlight w:val="none"/>
        </w:rPr>
        <w:br w:type="page"/>
      </w:r>
    </w:p>
    <w:p w14:paraId="3241A494">
      <w:pPr>
        <w:pStyle w:val="12"/>
        <w:rPr>
          <w:rFonts w:hint="default" w:ascii="宋体" w:hAnsi="宋体" w:cs="宋体"/>
          <w:bCs/>
          <w:sz w:val="26"/>
          <w:szCs w:val="26"/>
          <w:highlight w:val="none"/>
        </w:rPr>
      </w:pPr>
      <w:r>
        <w:rPr>
          <w:rFonts w:ascii="宋体" w:hAnsi="宋体" w:cs="宋体"/>
          <w:bCs/>
          <w:sz w:val="26"/>
          <w:szCs w:val="26"/>
          <w:highlight w:val="none"/>
        </w:rPr>
        <w:t>附件1：</w:t>
      </w:r>
    </w:p>
    <w:p w14:paraId="61A06478">
      <w:pPr>
        <w:tabs>
          <w:tab w:val="left" w:pos="8610"/>
        </w:tabs>
        <w:spacing w:line="480" w:lineRule="exact"/>
        <w:rPr>
          <w:rFonts w:hint="eastAsia" w:ascii="宋体" w:hAnsi="宋体" w:eastAsia="宋体"/>
          <w:sz w:val="24"/>
          <w:highlight w:val="none"/>
        </w:rPr>
      </w:pPr>
    </w:p>
    <w:p w14:paraId="0C64B581">
      <w:pPr>
        <w:pStyle w:val="12"/>
        <w:jc w:val="center"/>
        <w:outlineLvl w:val="1"/>
        <w:rPr>
          <w:highlight w:val="none"/>
        </w:rPr>
      </w:pPr>
      <w:r>
        <w:rPr>
          <w:rFonts w:ascii="仿宋_GB2312" w:hAnsi="仿宋_GB2312" w:eastAsia="仿宋_GB2312" w:cs="仿宋_GB2312"/>
          <w:b/>
          <w:sz w:val="36"/>
          <w:highlight w:val="none"/>
        </w:rPr>
        <w:t>招标内容及要求</w:t>
      </w:r>
    </w:p>
    <w:p w14:paraId="1E07E122">
      <w:pPr>
        <w:pStyle w:val="12"/>
        <w:jc w:val="both"/>
        <w:outlineLvl w:val="2"/>
        <w:rPr>
          <w:highlight w:val="none"/>
        </w:rPr>
      </w:pPr>
      <w:r>
        <w:rPr>
          <w:rFonts w:ascii="仿宋_GB2312" w:hAnsi="仿宋_GB2312" w:eastAsia="仿宋_GB2312" w:cs="仿宋_GB2312"/>
          <w:b/>
          <w:sz w:val="28"/>
          <w:highlight w:val="none"/>
        </w:rPr>
        <w:t>一、项目概况（采购标的）</w:t>
      </w:r>
    </w:p>
    <w:p w14:paraId="0B1B4934">
      <w:pPr>
        <w:pStyle w:val="12"/>
        <w:ind w:firstLine="480"/>
        <w:jc w:val="both"/>
        <w:rPr>
          <w:highlight w:val="none"/>
        </w:rPr>
      </w:pPr>
      <w:r>
        <w:rPr>
          <w:rFonts w:ascii="仿宋_GB2312" w:hAnsi="仿宋_GB2312" w:eastAsia="仿宋_GB2312" w:cs="仿宋_GB2312"/>
          <w:sz w:val="24"/>
          <w:highlight w:val="none"/>
        </w:rPr>
        <w:t>1、本项目为福建肿瘤医院</w:t>
      </w:r>
      <w:r>
        <w:rPr>
          <w:rFonts w:hint="eastAsia" w:ascii="仿宋_GB2312" w:hAnsi="仿宋_GB2312" w:eastAsia="仿宋_GB2312" w:cs="仿宋_GB2312"/>
          <w:sz w:val="24"/>
          <w:highlight w:val="none"/>
          <w:lang w:eastAsia="zh-CN"/>
        </w:rPr>
        <w:t>布类洗涤服务</w:t>
      </w:r>
      <w:r>
        <w:rPr>
          <w:rFonts w:ascii="仿宋_GB2312" w:hAnsi="仿宋_GB2312" w:eastAsia="仿宋_GB2312" w:cs="仿宋_GB2312"/>
          <w:sz w:val="24"/>
          <w:highlight w:val="none"/>
        </w:rPr>
        <w:t>项目。要求投标人根据实际情况，负责院内所有医用布类、工作服等洗涤工作（包括下收、下送、缝补、折叠和熨烫等）。</w:t>
      </w:r>
    </w:p>
    <w:p w14:paraId="073B072E">
      <w:pPr>
        <w:pStyle w:val="12"/>
        <w:ind w:firstLine="480"/>
        <w:jc w:val="both"/>
        <w:rPr>
          <w:rFonts w:ascii="仿宋_GB2312" w:hAnsi="仿宋_GB2312" w:eastAsia="仿宋_GB2312" w:cs="仿宋_GB2312"/>
          <w:sz w:val="24"/>
          <w:highlight w:val="none"/>
        </w:rPr>
      </w:pPr>
      <w:r>
        <w:rPr>
          <w:rFonts w:ascii="仿宋_GB2312" w:hAnsi="仿宋_GB2312" w:eastAsia="仿宋_GB2312" w:cs="仿宋_GB2312"/>
          <w:sz w:val="24"/>
          <w:highlight w:val="none"/>
        </w:rPr>
        <w:t>2、服务期限：</w:t>
      </w:r>
      <w:r>
        <w:rPr>
          <w:rFonts w:hint="eastAsia" w:ascii="仿宋_GB2312" w:hAnsi="仿宋_GB2312" w:eastAsia="仿宋_GB2312" w:cs="仿宋_GB2312"/>
          <w:sz w:val="24"/>
          <w:highlight w:val="none"/>
          <w:lang w:val="en-US" w:eastAsia="zh-CN"/>
        </w:rPr>
        <w:t>暂定2</w:t>
      </w:r>
      <w:r>
        <w:rPr>
          <w:rFonts w:ascii="仿宋_GB2312" w:hAnsi="仿宋_GB2312" w:eastAsia="仿宋_GB2312" w:cs="仿宋_GB2312"/>
          <w:sz w:val="24"/>
          <w:highlight w:val="none"/>
        </w:rPr>
        <w:t>个月。本项目为应急保障类紧急采购，服务周期为预估期限；若采购人新一轮正式洗涤服务招标完成，本项目合同可能不予执行或提前终止，实际服务时长存在不确定性，供应商应自行评估并承担相关风险。</w:t>
      </w:r>
    </w:p>
    <w:p w14:paraId="1B6F5884">
      <w:pPr>
        <w:pStyle w:val="12"/>
        <w:ind w:firstLine="480"/>
        <w:jc w:val="both"/>
        <w:rPr>
          <w:rFonts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3、</w:t>
      </w:r>
      <w:r>
        <w:rPr>
          <w:rFonts w:ascii="仿宋_GB2312" w:hAnsi="仿宋_GB2312" w:eastAsia="仿宋_GB2312" w:cs="仿宋_GB2312"/>
          <w:sz w:val="24"/>
          <w:highlight w:val="none"/>
        </w:rPr>
        <w:t>服务期限与特别风险说明</w:t>
      </w:r>
    </w:p>
    <w:p w14:paraId="0B7D1EAA">
      <w:pPr>
        <w:pStyle w:val="12"/>
        <w:jc w:val="both"/>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 xml:space="preserve">供应商须充分知晓并自愿承担以下全部风险： </w:t>
      </w:r>
    </w:p>
    <w:p w14:paraId="2DAF6DB2">
      <w:pPr>
        <w:pStyle w:val="12"/>
        <w:ind w:firstLine="480"/>
        <w:jc w:val="both"/>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（1）若采购人新一轮正式洗涤服务招标工作完成并确定中标服务商，本项目合同可能不再签署、不予执行，采购人不承担任何违约责任与赔偿责任；</w:t>
      </w:r>
    </w:p>
    <w:p w14:paraId="4926D3AA">
      <w:pPr>
        <w:pStyle w:val="12"/>
        <w:ind w:firstLine="480"/>
        <w:jc w:val="both"/>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（2）若双方已签署合同，采购人有权根据正式招标进度提前终止本合同，实际服务周期可能短于 2 个月（极端情形下仅为数天），服务费用按双方确认的实际服务天数据实结算，采购人不承担任何提前终止的补偿或赔偿责任。</w:t>
      </w:r>
    </w:p>
    <w:p w14:paraId="74CCB2E5">
      <w:pPr>
        <w:pStyle w:val="12"/>
        <w:ind w:firstLine="480"/>
        <w:jc w:val="both"/>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（3）供应商应结合上述风险自行测算成本、合理报价，报价一经提交即视为已完全知晓、理解并接受本条款全部约定。</w:t>
      </w:r>
    </w:p>
    <w:p w14:paraId="2E2ACC98">
      <w:pPr>
        <w:pStyle w:val="12"/>
        <w:ind w:firstLine="480"/>
        <w:jc w:val="both"/>
        <w:rPr>
          <w:highlight w:val="none"/>
        </w:rPr>
      </w:pPr>
      <w:r>
        <w:rPr>
          <w:rFonts w:hint="eastAsia" w:ascii="仿宋_GB2312" w:hAnsi="仿宋_GB2312" w:eastAsia="仿宋_GB2312" w:cs="仿宋_GB2312"/>
          <w:sz w:val="24"/>
          <w:highlight w:val="none"/>
          <w:lang w:val="en-US" w:eastAsia="zh-CN"/>
        </w:rPr>
        <w:t>4</w:t>
      </w:r>
      <w:r>
        <w:rPr>
          <w:rFonts w:ascii="仿宋_GB2312" w:hAnsi="仿宋_GB2312" w:eastAsia="仿宋_GB2312" w:cs="仿宋_GB2312"/>
          <w:sz w:val="24"/>
          <w:highlight w:val="none"/>
        </w:rPr>
        <w:t>、报价要求</w:t>
      </w:r>
    </w:p>
    <w:p w14:paraId="293FF51C">
      <w:pPr>
        <w:pStyle w:val="12"/>
        <w:ind w:firstLine="480"/>
        <w:jc w:val="both"/>
        <w:rPr>
          <w:highlight w:val="none"/>
        </w:rPr>
      </w:pP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1</w:t>
      </w:r>
      <w:r>
        <w:rPr>
          <w:rFonts w:ascii="仿宋_GB2312" w:hAnsi="仿宋_GB2312" w:eastAsia="仿宋_GB2312" w:cs="仿宋_GB2312"/>
          <w:sz w:val="24"/>
          <w:highlight w:val="none"/>
        </w:rPr>
        <w:t>）本项目实行包干价，所报总价在项目履约期限内不因布类洗涤数量增减而变化。投标人的投标报价须包含履行本项目约定的服务可能产生的所有费用，包括但不限于货物材料、人工、制作、安装、包装、装卸、运输、售后服务、利润、仓库保管、货物检验检测、税费等全部费用，采购人不向投标人支付任何其他费用。除基本的工资劳务薪酬及奖金外，报价还应包括投标人员工劳保费用、医保、社保、意外险等可推断并需支付的费用，并需考虑洗涤场所所在地最低工资标准的调整因素。采购人不向投标人支付任何其他费用。</w:t>
      </w:r>
    </w:p>
    <w:p w14:paraId="28A2718B">
      <w:pPr>
        <w:pStyle w:val="12"/>
        <w:ind w:firstLine="480"/>
        <w:jc w:val="both"/>
        <w:rPr>
          <w:highlight w:val="none"/>
        </w:rPr>
      </w:pPr>
      <w:r>
        <w:rPr>
          <w:rFonts w:ascii="仿宋_GB2312" w:hAnsi="仿宋_GB2312" w:eastAsia="仿宋_GB2312" w:cs="仿宋_GB2312"/>
          <w:sz w:val="24"/>
          <w:highlight w:val="none"/>
        </w:rPr>
        <w:t>（4）2025年洗涤数量详见附表，洗涤数量仅供预估2026年-2029年洗涤数量参考，投标人在报价时须充分考虑此项因素，采购人不对投标人据此作出的判断和决策负责。</w:t>
      </w:r>
    </w:p>
    <w:p w14:paraId="2097A69E">
      <w:pPr>
        <w:pStyle w:val="12"/>
        <w:ind w:firstLine="480"/>
        <w:jc w:val="both"/>
        <w:rPr>
          <w:highlight w:val="none"/>
        </w:rPr>
      </w:pPr>
      <w:r>
        <w:rPr>
          <w:rFonts w:ascii="仿宋_GB2312" w:hAnsi="仿宋_GB2312" w:eastAsia="仿宋_GB2312" w:cs="仿宋_GB2312"/>
          <w:sz w:val="24"/>
          <w:highlight w:val="none"/>
        </w:rPr>
        <w:t>附件:布类洗涤清单</w:t>
      </w:r>
    </w:p>
    <w:tbl>
      <w:tblPr>
        <w:tblStyle w:val="8"/>
        <w:tblW w:w="0" w:type="auto"/>
        <w:tblInd w:w="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09"/>
        <w:gridCol w:w="3730"/>
        <w:gridCol w:w="3367"/>
      </w:tblGrid>
      <w:tr w14:paraId="11E1C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4ADFECC1">
            <w:pPr>
              <w:pStyle w:val="12"/>
              <w:jc w:val="both"/>
              <w:rPr>
                <w:highlight w:val="none"/>
              </w:rPr>
            </w:pPr>
            <w:r>
              <w:rPr>
                <w:rFonts w:ascii="仿宋_GB2312" w:hAnsi="仿宋_GB2312" w:eastAsia="仿宋_GB2312" w:cs="仿宋_GB2312"/>
                <w:sz w:val="24"/>
                <w:highlight w:val="none"/>
              </w:rPr>
              <w:t>序号</w:t>
            </w:r>
          </w:p>
        </w:tc>
        <w:tc>
          <w:tcPr>
            <w:tcW w:w="3730" w:type="dxa"/>
            <w:tcBorders>
              <w:tl2br w:val="nil"/>
              <w:tr2bl w:val="nil"/>
            </w:tcBorders>
            <w:tcMar>
              <w:top w:w="0" w:type="dxa"/>
              <w:left w:w="105" w:type="dxa"/>
              <w:bottom w:w="0" w:type="dxa"/>
              <w:right w:w="105" w:type="dxa"/>
            </w:tcMar>
            <w:vAlign w:val="top"/>
          </w:tcPr>
          <w:p w14:paraId="71293A9C">
            <w:pPr>
              <w:pStyle w:val="12"/>
              <w:ind w:firstLine="380"/>
              <w:jc w:val="both"/>
              <w:rPr>
                <w:highlight w:val="none"/>
              </w:rPr>
            </w:pPr>
            <w:r>
              <w:rPr>
                <w:rFonts w:ascii="仿宋_GB2312" w:hAnsi="仿宋_GB2312" w:eastAsia="仿宋_GB2312" w:cs="仿宋_GB2312"/>
                <w:sz w:val="24"/>
                <w:highlight w:val="none"/>
              </w:rPr>
              <w:t>品名</w:t>
            </w:r>
          </w:p>
        </w:tc>
        <w:tc>
          <w:tcPr>
            <w:tcW w:w="3367" w:type="dxa"/>
            <w:tcBorders>
              <w:tl2br w:val="nil"/>
              <w:tr2bl w:val="nil"/>
            </w:tcBorders>
            <w:tcMar>
              <w:top w:w="0" w:type="dxa"/>
              <w:left w:w="105" w:type="dxa"/>
              <w:bottom w:w="0" w:type="dxa"/>
              <w:right w:w="105" w:type="dxa"/>
            </w:tcMar>
            <w:vAlign w:val="top"/>
          </w:tcPr>
          <w:p w14:paraId="785490F7">
            <w:pPr>
              <w:pStyle w:val="12"/>
              <w:ind w:firstLine="380"/>
              <w:jc w:val="both"/>
              <w:rPr>
                <w:highlight w:val="none"/>
              </w:rPr>
            </w:pPr>
            <w:r>
              <w:rPr>
                <w:rFonts w:ascii="仿宋_GB2312" w:hAnsi="仿宋_GB2312" w:eastAsia="仿宋_GB2312" w:cs="仿宋_GB2312"/>
                <w:sz w:val="24"/>
                <w:highlight w:val="none"/>
              </w:rPr>
              <w:t>年预估数量</w:t>
            </w:r>
          </w:p>
        </w:tc>
      </w:tr>
      <w:tr w14:paraId="73578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489F3FBC">
            <w:pPr>
              <w:pStyle w:val="12"/>
              <w:ind w:firstLine="380"/>
              <w:jc w:val="both"/>
              <w:rPr>
                <w:highlight w:val="none"/>
              </w:rPr>
            </w:pPr>
            <w:r>
              <w:rPr>
                <w:rFonts w:ascii="仿宋_GB2312" w:hAnsi="仿宋_GB2312" w:eastAsia="仿宋_GB2312" w:cs="仿宋_GB2312"/>
                <w:sz w:val="24"/>
                <w:highlight w:val="none"/>
              </w:rPr>
              <w:t>1</w:t>
            </w:r>
          </w:p>
        </w:tc>
        <w:tc>
          <w:tcPr>
            <w:tcW w:w="3730" w:type="dxa"/>
            <w:tcBorders>
              <w:tl2br w:val="nil"/>
              <w:tr2bl w:val="nil"/>
            </w:tcBorders>
            <w:tcMar>
              <w:top w:w="0" w:type="dxa"/>
              <w:left w:w="105" w:type="dxa"/>
              <w:bottom w:w="0" w:type="dxa"/>
              <w:right w:w="105" w:type="dxa"/>
            </w:tcMar>
            <w:vAlign w:val="top"/>
          </w:tcPr>
          <w:p w14:paraId="0687E949">
            <w:pPr>
              <w:pStyle w:val="12"/>
              <w:ind w:firstLine="380"/>
              <w:jc w:val="both"/>
              <w:rPr>
                <w:highlight w:val="none"/>
              </w:rPr>
            </w:pPr>
            <w:r>
              <w:rPr>
                <w:rFonts w:ascii="仿宋_GB2312" w:hAnsi="仿宋_GB2312" w:eastAsia="仿宋_GB2312" w:cs="仿宋_GB2312"/>
                <w:sz w:val="24"/>
                <w:highlight w:val="none"/>
              </w:rPr>
              <w:t>被套</w:t>
            </w:r>
          </w:p>
        </w:tc>
        <w:tc>
          <w:tcPr>
            <w:tcW w:w="3367" w:type="dxa"/>
            <w:tcBorders>
              <w:tl2br w:val="nil"/>
              <w:tr2bl w:val="nil"/>
            </w:tcBorders>
            <w:tcMar>
              <w:top w:w="0" w:type="dxa"/>
              <w:left w:w="105" w:type="dxa"/>
              <w:bottom w:w="0" w:type="dxa"/>
              <w:right w:w="105" w:type="dxa"/>
            </w:tcMar>
            <w:vAlign w:val="top"/>
          </w:tcPr>
          <w:p w14:paraId="095EEA2F">
            <w:pPr>
              <w:pStyle w:val="12"/>
              <w:ind w:firstLine="380"/>
              <w:jc w:val="both"/>
              <w:rPr>
                <w:highlight w:val="none"/>
              </w:rPr>
            </w:pPr>
            <w:r>
              <w:rPr>
                <w:rFonts w:ascii="仿宋_GB2312" w:hAnsi="仿宋_GB2312" w:eastAsia="仿宋_GB2312" w:cs="仿宋_GB2312"/>
                <w:sz w:val="24"/>
                <w:highlight w:val="none"/>
              </w:rPr>
              <w:t>147477</w:t>
            </w:r>
          </w:p>
        </w:tc>
      </w:tr>
      <w:tr w14:paraId="67814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2126D3FB">
            <w:pPr>
              <w:pStyle w:val="12"/>
              <w:ind w:firstLine="380"/>
              <w:jc w:val="both"/>
              <w:rPr>
                <w:highlight w:val="none"/>
              </w:rPr>
            </w:pPr>
            <w:r>
              <w:rPr>
                <w:rFonts w:ascii="仿宋_GB2312" w:hAnsi="仿宋_GB2312" w:eastAsia="仿宋_GB2312" w:cs="仿宋_GB2312"/>
                <w:sz w:val="24"/>
                <w:highlight w:val="none"/>
              </w:rPr>
              <w:t>2</w:t>
            </w:r>
          </w:p>
        </w:tc>
        <w:tc>
          <w:tcPr>
            <w:tcW w:w="3730" w:type="dxa"/>
            <w:tcBorders>
              <w:tl2br w:val="nil"/>
              <w:tr2bl w:val="nil"/>
            </w:tcBorders>
            <w:tcMar>
              <w:top w:w="0" w:type="dxa"/>
              <w:left w:w="105" w:type="dxa"/>
              <w:bottom w:w="0" w:type="dxa"/>
              <w:right w:w="105" w:type="dxa"/>
            </w:tcMar>
            <w:vAlign w:val="top"/>
          </w:tcPr>
          <w:p w14:paraId="7E62CFDB">
            <w:pPr>
              <w:pStyle w:val="12"/>
              <w:ind w:firstLine="380"/>
              <w:jc w:val="both"/>
              <w:rPr>
                <w:highlight w:val="none"/>
              </w:rPr>
            </w:pPr>
            <w:r>
              <w:rPr>
                <w:rFonts w:ascii="仿宋_GB2312" w:hAnsi="仿宋_GB2312" w:eastAsia="仿宋_GB2312" w:cs="仿宋_GB2312"/>
                <w:sz w:val="24"/>
                <w:highlight w:val="none"/>
              </w:rPr>
              <w:t>床罩</w:t>
            </w:r>
          </w:p>
        </w:tc>
        <w:tc>
          <w:tcPr>
            <w:tcW w:w="3367" w:type="dxa"/>
            <w:tcBorders>
              <w:tl2br w:val="nil"/>
              <w:tr2bl w:val="nil"/>
            </w:tcBorders>
            <w:tcMar>
              <w:top w:w="0" w:type="dxa"/>
              <w:left w:w="105" w:type="dxa"/>
              <w:bottom w:w="0" w:type="dxa"/>
              <w:right w:w="105" w:type="dxa"/>
            </w:tcMar>
            <w:vAlign w:val="top"/>
          </w:tcPr>
          <w:p w14:paraId="0EBE527C">
            <w:pPr>
              <w:pStyle w:val="12"/>
              <w:ind w:firstLine="380"/>
              <w:jc w:val="both"/>
              <w:rPr>
                <w:highlight w:val="none"/>
              </w:rPr>
            </w:pPr>
            <w:r>
              <w:rPr>
                <w:rFonts w:ascii="仿宋_GB2312" w:hAnsi="仿宋_GB2312" w:eastAsia="仿宋_GB2312" w:cs="仿宋_GB2312"/>
                <w:sz w:val="24"/>
                <w:highlight w:val="none"/>
              </w:rPr>
              <w:t>139526</w:t>
            </w:r>
          </w:p>
        </w:tc>
      </w:tr>
      <w:tr w14:paraId="6E0F2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0364B63D">
            <w:pPr>
              <w:pStyle w:val="12"/>
              <w:ind w:firstLine="380"/>
              <w:jc w:val="both"/>
              <w:rPr>
                <w:highlight w:val="none"/>
              </w:rPr>
            </w:pPr>
            <w:r>
              <w:rPr>
                <w:rFonts w:ascii="仿宋_GB2312" w:hAnsi="仿宋_GB2312" w:eastAsia="仿宋_GB2312" w:cs="仿宋_GB2312"/>
                <w:sz w:val="24"/>
                <w:highlight w:val="none"/>
              </w:rPr>
              <w:t>3</w:t>
            </w:r>
          </w:p>
        </w:tc>
        <w:tc>
          <w:tcPr>
            <w:tcW w:w="3730" w:type="dxa"/>
            <w:tcBorders>
              <w:tl2br w:val="nil"/>
              <w:tr2bl w:val="nil"/>
            </w:tcBorders>
            <w:tcMar>
              <w:top w:w="0" w:type="dxa"/>
              <w:left w:w="105" w:type="dxa"/>
              <w:bottom w:w="0" w:type="dxa"/>
              <w:right w:w="105" w:type="dxa"/>
            </w:tcMar>
            <w:vAlign w:val="top"/>
          </w:tcPr>
          <w:p w14:paraId="485C84F0">
            <w:pPr>
              <w:pStyle w:val="12"/>
              <w:ind w:firstLine="380"/>
              <w:jc w:val="both"/>
              <w:rPr>
                <w:highlight w:val="none"/>
              </w:rPr>
            </w:pPr>
            <w:r>
              <w:rPr>
                <w:rFonts w:ascii="仿宋_GB2312" w:hAnsi="仿宋_GB2312" w:eastAsia="仿宋_GB2312" w:cs="仿宋_GB2312"/>
                <w:sz w:val="24"/>
                <w:highlight w:val="none"/>
              </w:rPr>
              <w:t>检查床罩</w:t>
            </w:r>
          </w:p>
        </w:tc>
        <w:tc>
          <w:tcPr>
            <w:tcW w:w="3367" w:type="dxa"/>
            <w:tcBorders>
              <w:tl2br w:val="nil"/>
              <w:tr2bl w:val="nil"/>
            </w:tcBorders>
            <w:tcMar>
              <w:top w:w="0" w:type="dxa"/>
              <w:left w:w="105" w:type="dxa"/>
              <w:bottom w:w="0" w:type="dxa"/>
              <w:right w:w="105" w:type="dxa"/>
            </w:tcMar>
            <w:vAlign w:val="top"/>
          </w:tcPr>
          <w:p w14:paraId="0F70EF5B">
            <w:pPr>
              <w:pStyle w:val="12"/>
              <w:ind w:firstLine="380"/>
              <w:jc w:val="both"/>
              <w:rPr>
                <w:highlight w:val="none"/>
              </w:rPr>
            </w:pPr>
            <w:r>
              <w:rPr>
                <w:rFonts w:ascii="仿宋_GB2312" w:hAnsi="仿宋_GB2312" w:eastAsia="仿宋_GB2312" w:cs="仿宋_GB2312"/>
                <w:sz w:val="24"/>
                <w:highlight w:val="none"/>
              </w:rPr>
              <w:t>2746</w:t>
            </w:r>
          </w:p>
        </w:tc>
      </w:tr>
      <w:tr w14:paraId="68C18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3A5C2371">
            <w:pPr>
              <w:pStyle w:val="12"/>
              <w:ind w:firstLine="380"/>
              <w:jc w:val="both"/>
              <w:rPr>
                <w:highlight w:val="none"/>
              </w:rPr>
            </w:pPr>
            <w:r>
              <w:rPr>
                <w:rFonts w:ascii="仿宋_GB2312" w:hAnsi="仿宋_GB2312" w:eastAsia="仿宋_GB2312" w:cs="仿宋_GB2312"/>
                <w:sz w:val="24"/>
                <w:highlight w:val="none"/>
              </w:rPr>
              <w:t>4</w:t>
            </w:r>
          </w:p>
        </w:tc>
        <w:tc>
          <w:tcPr>
            <w:tcW w:w="3730" w:type="dxa"/>
            <w:tcBorders>
              <w:tl2br w:val="nil"/>
              <w:tr2bl w:val="nil"/>
            </w:tcBorders>
            <w:tcMar>
              <w:top w:w="0" w:type="dxa"/>
              <w:left w:w="105" w:type="dxa"/>
              <w:bottom w:w="0" w:type="dxa"/>
              <w:right w:w="105" w:type="dxa"/>
            </w:tcMar>
            <w:vAlign w:val="top"/>
          </w:tcPr>
          <w:p w14:paraId="1A5CDAEF">
            <w:pPr>
              <w:pStyle w:val="12"/>
              <w:ind w:firstLine="380"/>
              <w:jc w:val="both"/>
              <w:rPr>
                <w:highlight w:val="none"/>
              </w:rPr>
            </w:pPr>
            <w:r>
              <w:rPr>
                <w:rFonts w:ascii="仿宋_GB2312" w:hAnsi="仿宋_GB2312" w:eastAsia="仿宋_GB2312" w:cs="仿宋_GB2312"/>
                <w:sz w:val="24"/>
                <w:highlight w:val="none"/>
              </w:rPr>
              <w:t>床单</w:t>
            </w:r>
          </w:p>
        </w:tc>
        <w:tc>
          <w:tcPr>
            <w:tcW w:w="3367" w:type="dxa"/>
            <w:tcBorders>
              <w:tl2br w:val="nil"/>
              <w:tr2bl w:val="nil"/>
            </w:tcBorders>
            <w:tcMar>
              <w:top w:w="0" w:type="dxa"/>
              <w:left w:w="105" w:type="dxa"/>
              <w:bottom w:w="0" w:type="dxa"/>
              <w:right w:w="105" w:type="dxa"/>
            </w:tcMar>
            <w:vAlign w:val="top"/>
          </w:tcPr>
          <w:p w14:paraId="71DD8F32">
            <w:pPr>
              <w:pStyle w:val="12"/>
              <w:ind w:firstLine="380"/>
              <w:jc w:val="both"/>
              <w:rPr>
                <w:highlight w:val="none"/>
              </w:rPr>
            </w:pPr>
            <w:r>
              <w:rPr>
                <w:rFonts w:ascii="仿宋_GB2312" w:hAnsi="仿宋_GB2312" w:eastAsia="仿宋_GB2312" w:cs="仿宋_GB2312"/>
                <w:sz w:val="24"/>
                <w:highlight w:val="none"/>
              </w:rPr>
              <w:t>8792</w:t>
            </w:r>
          </w:p>
        </w:tc>
      </w:tr>
      <w:tr w14:paraId="7A5DC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2E9BDCD8">
            <w:pPr>
              <w:pStyle w:val="12"/>
              <w:ind w:firstLine="380"/>
              <w:jc w:val="both"/>
              <w:rPr>
                <w:highlight w:val="none"/>
              </w:rPr>
            </w:pPr>
            <w:r>
              <w:rPr>
                <w:rFonts w:ascii="仿宋_GB2312" w:hAnsi="仿宋_GB2312" w:eastAsia="仿宋_GB2312" w:cs="仿宋_GB2312"/>
                <w:sz w:val="24"/>
                <w:highlight w:val="none"/>
              </w:rPr>
              <w:t>5</w:t>
            </w:r>
          </w:p>
        </w:tc>
        <w:tc>
          <w:tcPr>
            <w:tcW w:w="3730" w:type="dxa"/>
            <w:tcBorders>
              <w:tl2br w:val="nil"/>
              <w:tr2bl w:val="nil"/>
            </w:tcBorders>
            <w:tcMar>
              <w:top w:w="0" w:type="dxa"/>
              <w:left w:w="105" w:type="dxa"/>
              <w:bottom w:w="0" w:type="dxa"/>
              <w:right w:w="105" w:type="dxa"/>
            </w:tcMar>
            <w:vAlign w:val="top"/>
          </w:tcPr>
          <w:p w14:paraId="494BB4F4">
            <w:pPr>
              <w:pStyle w:val="12"/>
              <w:ind w:firstLine="380"/>
              <w:jc w:val="both"/>
              <w:rPr>
                <w:highlight w:val="none"/>
              </w:rPr>
            </w:pPr>
            <w:r>
              <w:rPr>
                <w:rFonts w:ascii="仿宋_GB2312" w:hAnsi="仿宋_GB2312" w:eastAsia="仿宋_GB2312" w:cs="仿宋_GB2312"/>
                <w:sz w:val="24"/>
                <w:highlight w:val="none"/>
              </w:rPr>
              <w:t>枕套</w:t>
            </w:r>
          </w:p>
        </w:tc>
        <w:tc>
          <w:tcPr>
            <w:tcW w:w="3367" w:type="dxa"/>
            <w:tcBorders>
              <w:tl2br w:val="nil"/>
              <w:tr2bl w:val="nil"/>
            </w:tcBorders>
            <w:tcMar>
              <w:top w:w="0" w:type="dxa"/>
              <w:left w:w="105" w:type="dxa"/>
              <w:bottom w:w="0" w:type="dxa"/>
              <w:right w:w="105" w:type="dxa"/>
            </w:tcMar>
            <w:vAlign w:val="top"/>
          </w:tcPr>
          <w:p w14:paraId="6C8811B5">
            <w:pPr>
              <w:pStyle w:val="12"/>
              <w:ind w:firstLine="380"/>
              <w:jc w:val="both"/>
              <w:rPr>
                <w:highlight w:val="none"/>
              </w:rPr>
            </w:pPr>
            <w:r>
              <w:rPr>
                <w:rFonts w:ascii="仿宋_GB2312" w:hAnsi="仿宋_GB2312" w:eastAsia="仿宋_GB2312" w:cs="仿宋_GB2312"/>
                <w:sz w:val="24"/>
                <w:highlight w:val="none"/>
              </w:rPr>
              <w:t>152560</w:t>
            </w:r>
          </w:p>
        </w:tc>
      </w:tr>
      <w:tr w14:paraId="60D47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2DE348AF">
            <w:pPr>
              <w:pStyle w:val="12"/>
              <w:ind w:firstLine="380"/>
              <w:jc w:val="both"/>
              <w:rPr>
                <w:highlight w:val="none"/>
              </w:rPr>
            </w:pPr>
            <w:r>
              <w:rPr>
                <w:rFonts w:ascii="仿宋_GB2312" w:hAnsi="仿宋_GB2312" w:eastAsia="仿宋_GB2312" w:cs="仿宋_GB2312"/>
                <w:sz w:val="24"/>
                <w:highlight w:val="none"/>
              </w:rPr>
              <w:t>6</w:t>
            </w:r>
          </w:p>
        </w:tc>
        <w:tc>
          <w:tcPr>
            <w:tcW w:w="3730" w:type="dxa"/>
            <w:tcBorders>
              <w:tl2br w:val="nil"/>
              <w:tr2bl w:val="nil"/>
            </w:tcBorders>
            <w:tcMar>
              <w:top w:w="0" w:type="dxa"/>
              <w:left w:w="105" w:type="dxa"/>
              <w:bottom w:w="0" w:type="dxa"/>
              <w:right w:w="105" w:type="dxa"/>
            </w:tcMar>
            <w:vAlign w:val="top"/>
          </w:tcPr>
          <w:p w14:paraId="39DC3218">
            <w:pPr>
              <w:pStyle w:val="12"/>
              <w:ind w:firstLine="380"/>
              <w:jc w:val="both"/>
              <w:rPr>
                <w:highlight w:val="none"/>
              </w:rPr>
            </w:pPr>
            <w:r>
              <w:rPr>
                <w:rFonts w:ascii="仿宋_GB2312" w:hAnsi="仿宋_GB2312" w:eastAsia="仿宋_GB2312" w:cs="仿宋_GB2312"/>
                <w:sz w:val="24"/>
                <w:highlight w:val="none"/>
              </w:rPr>
              <w:t>垫套</w:t>
            </w:r>
          </w:p>
        </w:tc>
        <w:tc>
          <w:tcPr>
            <w:tcW w:w="3367" w:type="dxa"/>
            <w:tcBorders>
              <w:tl2br w:val="nil"/>
              <w:tr2bl w:val="nil"/>
            </w:tcBorders>
            <w:tcMar>
              <w:top w:w="0" w:type="dxa"/>
              <w:left w:w="105" w:type="dxa"/>
              <w:bottom w:w="0" w:type="dxa"/>
              <w:right w:w="105" w:type="dxa"/>
            </w:tcMar>
            <w:vAlign w:val="top"/>
          </w:tcPr>
          <w:p w14:paraId="0CA38DBA">
            <w:pPr>
              <w:pStyle w:val="12"/>
              <w:ind w:firstLine="380"/>
              <w:jc w:val="both"/>
              <w:rPr>
                <w:highlight w:val="none"/>
              </w:rPr>
            </w:pPr>
            <w:r>
              <w:rPr>
                <w:rFonts w:ascii="仿宋_GB2312" w:hAnsi="仿宋_GB2312" w:eastAsia="仿宋_GB2312" w:cs="仿宋_GB2312"/>
                <w:sz w:val="24"/>
                <w:highlight w:val="none"/>
              </w:rPr>
              <w:t>503</w:t>
            </w:r>
          </w:p>
        </w:tc>
      </w:tr>
      <w:tr w14:paraId="4A988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08E27B7C">
            <w:pPr>
              <w:pStyle w:val="12"/>
              <w:ind w:firstLine="380"/>
              <w:jc w:val="both"/>
              <w:rPr>
                <w:highlight w:val="none"/>
              </w:rPr>
            </w:pPr>
            <w:r>
              <w:rPr>
                <w:rFonts w:ascii="仿宋_GB2312" w:hAnsi="仿宋_GB2312" w:eastAsia="仿宋_GB2312" w:cs="仿宋_GB2312"/>
                <w:sz w:val="24"/>
                <w:highlight w:val="none"/>
              </w:rPr>
              <w:t>7</w:t>
            </w:r>
          </w:p>
        </w:tc>
        <w:tc>
          <w:tcPr>
            <w:tcW w:w="3730" w:type="dxa"/>
            <w:tcBorders>
              <w:tl2br w:val="nil"/>
              <w:tr2bl w:val="nil"/>
            </w:tcBorders>
            <w:tcMar>
              <w:top w:w="0" w:type="dxa"/>
              <w:left w:w="105" w:type="dxa"/>
              <w:bottom w:w="0" w:type="dxa"/>
              <w:right w:w="105" w:type="dxa"/>
            </w:tcMar>
            <w:vAlign w:val="top"/>
          </w:tcPr>
          <w:p w14:paraId="3CF42A50">
            <w:pPr>
              <w:pStyle w:val="12"/>
              <w:ind w:firstLine="380"/>
              <w:jc w:val="both"/>
              <w:rPr>
                <w:highlight w:val="none"/>
              </w:rPr>
            </w:pPr>
            <w:r>
              <w:rPr>
                <w:rFonts w:ascii="仿宋_GB2312" w:hAnsi="仿宋_GB2312" w:eastAsia="仿宋_GB2312" w:cs="仿宋_GB2312"/>
                <w:sz w:val="24"/>
                <w:highlight w:val="none"/>
              </w:rPr>
              <w:t>病人衣服</w:t>
            </w:r>
          </w:p>
        </w:tc>
        <w:tc>
          <w:tcPr>
            <w:tcW w:w="3367" w:type="dxa"/>
            <w:tcBorders>
              <w:tl2br w:val="nil"/>
              <w:tr2bl w:val="nil"/>
            </w:tcBorders>
            <w:tcMar>
              <w:top w:w="0" w:type="dxa"/>
              <w:left w:w="105" w:type="dxa"/>
              <w:bottom w:w="0" w:type="dxa"/>
              <w:right w:w="105" w:type="dxa"/>
            </w:tcMar>
            <w:vAlign w:val="top"/>
          </w:tcPr>
          <w:p w14:paraId="72D4811B">
            <w:pPr>
              <w:pStyle w:val="12"/>
              <w:ind w:firstLine="380"/>
              <w:jc w:val="both"/>
              <w:rPr>
                <w:highlight w:val="none"/>
              </w:rPr>
            </w:pPr>
            <w:r>
              <w:rPr>
                <w:rFonts w:ascii="仿宋_GB2312" w:hAnsi="仿宋_GB2312" w:eastAsia="仿宋_GB2312" w:cs="仿宋_GB2312"/>
                <w:sz w:val="24"/>
                <w:highlight w:val="none"/>
              </w:rPr>
              <w:t>186381</w:t>
            </w:r>
          </w:p>
        </w:tc>
      </w:tr>
      <w:tr w14:paraId="79678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569E5805">
            <w:pPr>
              <w:pStyle w:val="12"/>
              <w:ind w:firstLine="380"/>
              <w:jc w:val="both"/>
              <w:rPr>
                <w:highlight w:val="none"/>
              </w:rPr>
            </w:pPr>
            <w:r>
              <w:rPr>
                <w:rFonts w:ascii="仿宋_GB2312" w:hAnsi="仿宋_GB2312" w:eastAsia="仿宋_GB2312" w:cs="仿宋_GB2312"/>
                <w:sz w:val="24"/>
                <w:highlight w:val="none"/>
              </w:rPr>
              <w:t>8</w:t>
            </w:r>
          </w:p>
        </w:tc>
        <w:tc>
          <w:tcPr>
            <w:tcW w:w="3730" w:type="dxa"/>
            <w:tcBorders>
              <w:tl2br w:val="nil"/>
              <w:tr2bl w:val="nil"/>
            </w:tcBorders>
            <w:tcMar>
              <w:top w:w="0" w:type="dxa"/>
              <w:left w:w="105" w:type="dxa"/>
              <w:bottom w:w="0" w:type="dxa"/>
              <w:right w:w="105" w:type="dxa"/>
            </w:tcMar>
            <w:vAlign w:val="top"/>
          </w:tcPr>
          <w:p w14:paraId="026BB62F">
            <w:pPr>
              <w:pStyle w:val="12"/>
              <w:ind w:firstLine="380"/>
              <w:jc w:val="both"/>
              <w:rPr>
                <w:highlight w:val="none"/>
              </w:rPr>
            </w:pPr>
            <w:r>
              <w:rPr>
                <w:rFonts w:ascii="仿宋_GB2312" w:hAnsi="仿宋_GB2312" w:eastAsia="仿宋_GB2312" w:cs="仿宋_GB2312"/>
                <w:sz w:val="24"/>
                <w:highlight w:val="none"/>
              </w:rPr>
              <w:t>病人裤子</w:t>
            </w:r>
          </w:p>
        </w:tc>
        <w:tc>
          <w:tcPr>
            <w:tcW w:w="3367" w:type="dxa"/>
            <w:tcBorders>
              <w:tl2br w:val="nil"/>
              <w:tr2bl w:val="nil"/>
            </w:tcBorders>
            <w:tcMar>
              <w:top w:w="0" w:type="dxa"/>
              <w:left w:w="105" w:type="dxa"/>
              <w:bottom w:w="0" w:type="dxa"/>
              <w:right w:w="105" w:type="dxa"/>
            </w:tcMar>
            <w:vAlign w:val="top"/>
          </w:tcPr>
          <w:p w14:paraId="03740CDA">
            <w:pPr>
              <w:pStyle w:val="12"/>
              <w:ind w:firstLine="380"/>
              <w:jc w:val="both"/>
              <w:rPr>
                <w:highlight w:val="none"/>
              </w:rPr>
            </w:pPr>
            <w:r>
              <w:rPr>
                <w:rFonts w:ascii="仿宋_GB2312" w:hAnsi="仿宋_GB2312" w:eastAsia="仿宋_GB2312" w:cs="仿宋_GB2312"/>
                <w:sz w:val="24"/>
                <w:highlight w:val="none"/>
              </w:rPr>
              <w:t>168768</w:t>
            </w:r>
          </w:p>
        </w:tc>
      </w:tr>
      <w:tr w14:paraId="7D652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4419B8AF">
            <w:pPr>
              <w:pStyle w:val="12"/>
              <w:ind w:firstLine="380"/>
              <w:jc w:val="both"/>
              <w:rPr>
                <w:highlight w:val="none"/>
              </w:rPr>
            </w:pPr>
            <w:r>
              <w:rPr>
                <w:rFonts w:ascii="仿宋_GB2312" w:hAnsi="仿宋_GB2312" w:eastAsia="仿宋_GB2312" w:cs="仿宋_GB2312"/>
                <w:sz w:val="24"/>
                <w:highlight w:val="none"/>
              </w:rPr>
              <w:t>9</w:t>
            </w:r>
          </w:p>
        </w:tc>
        <w:tc>
          <w:tcPr>
            <w:tcW w:w="3730" w:type="dxa"/>
            <w:tcBorders>
              <w:tl2br w:val="nil"/>
              <w:tr2bl w:val="nil"/>
            </w:tcBorders>
            <w:tcMar>
              <w:top w:w="0" w:type="dxa"/>
              <w:left w:w="105" w:type="dxa"/>
              <w:bottom w:w="0" w:type="dxa"/>
              <w:right w:w="105" w:type="dxa"/>
            </w:tcMar>
            <w:vAlign w:val="top"/>
          </w:tcPr>
          <w:p w14:paraId="3D4FC627">
            <w:pPr>
              <w:pStyle w:val="12"/>
              <w:ind w:firstLine="380"/>
              <w:jc w:val="both"/>
              <w:rPr>
                <w:highlight w:val="none"/>
              </w:rPr>
            </w:pPr>
            <w:r>
              <w:rPr>
                <w:rFonts w:ascii="仿宋_GB2312" w:hAnsi="仿宋_GB2312" w:eastAsia="仿宋_GB2312" w:cs="仿宋_GB2312"/>
                <w:sz w:val="24"/>
                <w:highlight w:val="none"/>
              </w:rPr>
              <w:t>工作服</w:t>
            </w:r>
          </w:p>
        </w:tc>
        <w:tc>
          <w:tcPr>
            <w:tcW w:w="3367" w:type="dxa"/>
            <w:tcBorders>
              <w:tl2br w:val="nil"/>
              <w:tr2bl w:val="nil"/>
            </w:tcBorders>
            <w:tcMar>
              <w:top w:w="0" w:type="dxa"/>
              <w:left w:w="105" w:type="dxa"/>
              <w:bottom w:w="0" w:type="dxa"/>
              <w:right w:w="105" w:type="dxa"/>
            </w:tcMar>
            <w:vAlign w:val="top"/>
          </w:tcPr>
          <w:p w14:paraId="14A37A35">
            <w:pPr>
              <w:pStyle w:val="12"/>
              <w:ind w:firstLine="380"/>
              <w:jc w:val="both"/>
              <w:rPr>
                <w:highlight w:val="none"/>
              </w:rPr>
            </w:pPr>
            <w:r>
              <w:rPr>
                <w:rFonts w:ascii="仿宋_GB2312" w:hAnsi="仿宋_GB2312" w:eastAsia="仿宋_GB2312" w:cs="仿宋_GB2312"/>
                <w:sz w:val="24"/>
                <w:highlight w:val="none"/>
              </w:rPr>
              <w:t>72898</w:t>
            </w:r>
          </w:p>
        </w:tc>
      </w:tr>
      <w:tr w14:paraId="5C9E8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8AC8FF1">
            <w:pPr>
              <w:pStyle w:val="12"/>
              <w:ind w:firstLine="380"/>
              <w:jc w:val="both"/>
              <w:rPr>
                <w:highlight w:val="none"/>
              </w:rPr>
            </w:pPr>
            <w:r>
              <w:rPr>
                <w:rFonts w:ascii="仿宋_GB2312" w:hAnsi="仿宋_GB2312" w:eastAsia="仿宋_GB2312" w:cs="仿宋_GB2312"/>
                <w:sz w:val="24"/>
                <w:highlight w:val="none"/>
              </w:rPr>
              <w:t>10</w:t>
            </w:r>
          </w:p>
        </w:tc>
        <w:tc>
          <w:tcPr>
            <w:tcW w:w="3730" w:type="dxa"/>
            <w:tcBorders>
              <w:tl2br w:val="nil"/>
              <w:tr2bl w:val="nil"/>
            </w:tcBorders>
            <w:tcMar>
              <w:top w:w="0" w:type="dxa"/>
              <w:left w:w="105" w:type="dxa"/>
              <w:bottom w:w="0" w:type="dxa"/>
              <w:right w:w="105" w:type="dxa"/>
            </w:tcMar>
            <w:vAlign w:val="top"/>
          </w:tcPr>
          <w:p w14:paraId="6EF2E715">
            <w:pPr>
              <w:pStyle w:val="12"/>
              <w:ind w:firstLine="380"/>
              <w:jc w:val="both"/>
              <w:rPr>
                <w:highlight w:val="none"/>
              </w:rPr>
            </w:pPr>
            <w:r>
              <w:rPr>
                <w:rFonts w:ascii="仿宋_GB2312" w:hAnsi="仿宋_GB2312" w:eastAsia="仿宋_GB2312" w:cs="仿宋_GB2312"/>
                <w:sz w:val="24"/>
                <w:highlight w:val="none"/>
              </w:rPr>
              <w:t>工作裤</w:t>
            </w:r>
          </w:p>
        </w:tc>
        <w:tc>
          <w:tcPr>
            <w:tcW w:w="3367" w:type="dxa"/>
            <w:tcBorders>
              <w:tl2br w:val="nil"/>
              <w:tr2bl w:val="nil"/>
            </w:tcBorders>
            <w:tcMar>
              <w:top w:w="0" w:type="dxa"/>
              <w:left w:w="105" w:type="dxa"/>
              <w:bottom w:w="0" w:type="dxa"/>
              <w:right w:w="105" w:type="dxa"/>
            </w:tcMar>
            <w:vAlign w:val="top"/>
          </w:tcPr>
          <w:p w14:paraId="6E34AAAE">
            <w:pPr>
              <w:pStyle w:val="12"/>
              <w:ind w:firstLine="380"/>
              <w:jc w:val="both"/>
              <w:rPr>
                <w:highlight w:val="none"/>
              </w:rPr>
            </w:pPr>
            <w:r>
              <w:rPr>
                <w:rFonts w:ascii="仿宋_GB2312" w:hAnsi="仿宋_GB2312" w:eastAsia="仿宋_GB2312" w:cs="仿宋_GB2312"/>
                <w:sz w:val="24"/>
                <w:highlight w:val="none"/>
              </w:rPr>
              <w:t>51442</w:t>
            </w:r>
          </w:p>
        </w:tc>
      </w:tr>
      <w:tr w14:paraId="518E3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D6EAA6D">
            <w:pPr>
              <w:pStyle w:val="12"/>
              <w:ind w:firstLine="380"/>
              <w:jc w:val="both"/>
              <w:rPr>
                <w:highlight w:val="none"/>
              </w:rPr>
            </w:pPr>
            <w:r>
              <w:rPr>
                <w:rFonts w:ascii="仿宋_GB2312" w:hAnsi="仿宋_GB2312" w:eastAsia="仿宋_GB2312" w:cs="仿宋_GB2312"/>
                <w:sz w:val="24"/>
                <w:highlight w:val="none"/>
              </w:rPr>
              <w:t>11</w:t>
            </w:r>
          </w:p>
        </w:tc>
        <w:tc>
          <w:tcPr>
            <w:tcW w:w="3730" w:type="dxa"/>
            <w:tcBorders>
              <w:tl2br w:val="nil"/>
              <w:tr2bl w:val="nil"/>
            </w:tcBorders>
            <w:tcMar>
              <w:top w:w="0" w:type="dxa"/>
              <w:left w:w="105" w:type="dxa"/>
              <w:bottom w:w="0" w:type="dxa"/>
              <w:right w:w="105" w:type="dxa"/>
            </w:tcMar>
            <w:vAlign w:val="top"/>
          </w:tcPr>
          <w:p w14:paraId="4E3CEE61">
            <w:pPr>
              <w:pStyle w:val="12"/>
              <w:ind w:firstLine="380"/>
              <w:jc w:val="both"/>
              <w:rPr>
                <w:highlight w:val="none"/>
              </w:rPr>
            </w:pPr>
            <w:r>
              <w:rPr>
                <w:rFonts w:ascii="仿宋_GB2312" w:hAnsi="仿宋_GB2312" w:eastAsia="仿宋_GB2312" w:cs="仿宋_GB2312"/>
                <w:sz w:val="24"/>
                <w:highlight w:val="none"/>
              </w:rPr>
              <w:t>防护服</w:t>
            </w:r>
          </w:p>
        </w:tc>
        <w:tc>
          <w:tcPr>
            <w:tcW w:w="3367" w:type="dxa"/>
            <w:tcBorders>
              <w:tl2br w:val="nil"/>
              <w:tr2bl w:val="nil"/>
            </w:tcBorders>
            <w:tcMar>
              <w:top w:w="0" w:type="dxa"/>
              <w:left w:w="105" w:type="dxa"/>
              <w:bottom w:w="0" w:type="dxa"/>
              <w:right w:w="105" w:type="dxa"/>
            </w:tcMar>
            <w:vAlign w:val="top"/>
          </w:tcPr>
          <w:p w14:paraId="2976B1CB">
            <w:pPr>
              <w:pStyle w:val="12"/>
              <w:ind w:firstLine="380"/>
              <w:jc w:val="both"/>
              <w:rPr>
                <w:highlight w:val="none"/>
              </w:rPr>
            </w:pPr>
            <w:r>
              <w:rPr>
                <w:rFonts w:ascii="仿宋_GB2312" w:hAnsi="仿宋_GB2312" w:eastAsia="仿宋_GB2312" w:cs="仿宋_GB2312"/>
                <w:sz w:val="24"/>
                <w:highlight w:val="none"/>
              </w:rPr>
              <w:t>91</w:t>
            </w:r>
          </w:p>
        </w:tc>
      </w:tr>
      <w:tr w14:paraId="1945F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61210CC">
            <w:pPr>
              <w:pStyle w:val="12"/>
              <w:ind w:firstLine="380"/>
              <w:jc w:val="both"/>
              <w:rPr>
                <w:highlight w:val="none"/>
              </w:rPr>
            </w:pPr>
            <w:r>
              <w:rPr>
                <w:rFonts w:ascii="仿宋_GB2312" w:hAnsi="仿宋_GB2312" w:eastAsia="仿宋_GB2312" w:cs="仿宋_GB2312"/>
                <w:sz w:val="24"/>
                <w:highlight w:val="none"/>
              </w:rPr>
              <w:t>12</w:t>
            </w:r>
          </w:p>
        </w:tc>
        <w:tc>
          <w:tcPr>
            <w:tcW w:w="3730" w:type="dxa"/>
            <w:tcBorders>
              <w:tl2br w:val="nil"/>
              <w:tr2bl w:val="nil"/>
            </w:tcBorders>
            <w:tcMar>
              <w:top w:w="0" w:type="dxa"/>
              <w:left w:w="105" w:type="dxa"/>
              <w:bottom w:w="0" w:type="dxa"/>
              <w:right w:w="105" w:type="dxa"/>
            </w:tcMar>
            <w:vAlign w:val="top"/>
          </w:tcPr>
          <w:p w14:paraId="0EFCE371">
            <w:pPr>
              <w:pStyle w:val="12"/>
              <w:ind w:firstLine="380"/>
              <w:jc w:val="both"/>
              <w:rPr>
                <w:highlight w:val="none"/>
              </w:rPr>
            </w:pPr>
            <w:r>
              <w:rPr>
                <w:rFonts w:ascii="仿宋_GB2312" w:hAnsi="仿宋_GB2312" w:eastAsia="仿宋_GB2312" w:cs="仿宋_GB2312"/>
                <w:sz w:val="24"/>
                <w:highlight w:val="none"/>
              </w:rPr>
              <w:t>手术衣</w:t>
            </w:r>
          </w:p>
        </w:tc>
        <w:tc>
          <w:tcPr>
            <w:tcW w:w="3367" w:type="dxa"/>
            <w:tcBorders>
              <w:tl2br w:val="nil"/>
              <w:tr2bl w:val="nil"/>
            </w:tcBorders>
            <w:tcMar>
              <w:top w:w="0" w:type="dxa"/>
              <w:left w:w="105" w:type="dxa"/>
              <w:bottom w:w="0" w:type="dxa"/>
              <w:right w:w="105" w:type="dxa"/>
            </w:tcMar>
            <w:vAlign w:val="top"/>
          </w:tcPr>
          <w:p w14:paraId="069D328E">
            <w:pPr>
              <w:pStyle w:val="12"/>
              <w:ind w:firstLine="380"/>
              <w:jc w:val="both"/>
              <w:rPr>
                <w:highlight w:val="none"/>
              </w:rPr>
            </w:pPr>
            <w:r>
              <w:rPr>
                <w:rFonts w:ascii="仿宋_GB2312" w:hAnsi="仿宋_GB2312" w:eastAsia="仿宋_GB2312" w:cs="仿宋_GB2312"/>
                <w:sz w:val="24"/>
                <w:highlight w:val="none"/>
              </w:rPr>
              <w:t>146251</w:t>
            </w:r>
          </w:p>
        </w:tc>
      </w:tr>
      <w:tr w14:paraId="3C756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8F664EE">
            <w:pPr>
              <w:pStyle w:val="12"/>
              <w:ind w:firstLine="380"/>
              <w:jc w:val="both"/>
              <w:rPr>
                <w:highlight w:val="none"/>
              </w:rPr>
            </w:pPr>
            <w:r>
              <w:rPr>
                <w:rFonts w:ascii="仿宋_GB2312" w:hAnsi="仿宋_GB2312" w:eastAsia="仿宋_GB2312" w:cs="仿宋_GB2312"/>
                <w:sz w:val="24"/>
                <w:highlight w:val="none"/>
              </w:rPr>
              <w:t>13</w:t>
            </w:r>
          </w:p>
        </w:tc>
        <w:tc>
          <w:tcPr>
            <w:tcW w:w="3730" w:type="dxa"/>
            <w:tcBorders>
              <w:tl2br w:val="nil"/>
              <w:tr2bl w:val="nil"/>
            </w:tcBorders>
            <w:tcMar>
              <w:top w:w="0" w:type="dxa"/>
              <w:left w:w="105" w:type="dxa"/>
              <w:bottom w:w="0" w:type="dxa"/>
              <w:right w:w="105" w:type="dxa"/>
            </w:tcMar>
            <w:vAlign w:val="top"/>
          </w:tcPr>
          <w:p w14:paraId="0C47F187">
            <w:pPr>
              <w:pStyle w:val="12"/>
              <w:ind w:firstLine="380"/>
              <w:jc w:val="both"/>
              <w:rPr>
                <w:highlight w:val="none"/>
              </w:rPr>
            </w:pPr>
            <w:r>
              <w:rPr>
                <w:rFonts w:ascii="仿宋_GB2312" w:hAnsi="仿宋_GB2312" w:eastAsia="仿宋_GB2312" w:cs="仿宋_GB2312"/>
                <w:sz w:val="24"/>
                <w:highlight w:val="none"/>
              </w:rPr>
              <w:t>洗手衣</w:t>
            </w:r>
          </w:p>
        </w:tc>
        <w:tc>
          <w:tcPr>
            <w:tcW w:w="3367" w:type="dxa"/>
            <w:tcBorders>
              <w:tl2br w:val="nil"/>
              <w:tr2bl w:val="nil"/>
            </w:tcBorders>
            <w:tcMar>
              <w:top w:w="0" w:type="dxa"/>
              <w:left w:w="105" w:type="dxa"/>
              <w:bottom w:w="0" w:type="dxa"/>
              <w:right w:w="105" w:type="dxa"/>
            </w:tcMar>
            <w:vAlign w:val="top"/>
          </w:tcPr>
          <w:p w14:paraId="3FEF189F">
            <w:pPr>
              <w:pStyle w:val="12"/>
              <w:ind w:firstLine="380"/>
              <w:jc w:val="both"/>
              <w:rPr>
                <w:highlight w:val="none"/>
              </w:rPr>
            </w:pPr>
            <w:r>
              <w:rPr>
                <w:rFonts w:ascii="仿宋_GB2312" w:hAnsi="仿宋_GB2312" w:eastAsia="仿宋_GB2312" w:cs="仿宋_GB2312"/>
                <w:sz w:val="24"/>
                <w:highlight w:val="none"/>
              </w:rPr>
              <w:t>69281</w:t>
            </w:r>
          </w:p>
        </w:tc>
      </w:tr>
      <w:tr w14:paraId="2A9BC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4B0D30AB">
            <w:pPr>
              <w:pStyle w:val="12"/>
              <w:ind w:firstLine="380"/>
              <w:jc w:val="both"/>
              <w:rPr>
                <w:highlight w:val="none"/>
              </w:rPr>
            </w:pPr>
            <w:r>
              <w:rPr>
                <w:rFonts w:ascii="仿宋_GB2312" w:hAnsi="仿宋_GB2312" w:eastAsia="仿宋_GB2312" w:cs="仿宋_GB2312"/>
                <w:sz w:val="24"/>
                <w:highlight w:val="none"/>
              </w:rPr>
              <w:t>14</w:t>
            </w:r>
          </w:p>
        </w:tc>
        <w:tc>
          <w:tcPr>
            <w:tcW w:w="3730" w:type="dxa"/>
            <w:tcBorders>
              <w:tl2br w:val="nil"/>
              <w:tr2bl w:val="nil"/>
            </w:tcBorders>
            <w:tcMar>
              <w:top w:w="0" w:type="dxa"/>
              <w:left w:w="105" w:type="dxa"/>
              <w:bottom w:w="0" w:type="dxa"/>
              <w:right w:w="105" w:type="dxa"/>
            </w:tcMar>
            <w:vAlign w:val="top"/>
          </w:tcPr>
          <w:p w14:paraId="01879B06">
            <w:pPr>
              <w:pStyle w:val="12"/>
              <w:ind w:firstLine="380"/>
              <w:jc w:val="both"/>
              <w:rPr>
                <w:highlight w:val="none"/>
              </w:rPr>
            </w:pPr>
            <w:r>
              <w:rPr>
                <w:rFonts w:ascii="仿宋_GB2312" w:hAnsi="仿宋_GB2312" w:eastAsia="仿宋_GB2312" w:cs="仿宋_GB2312"/>
                <w:sz w:val="24"/>
                <w:highlight w:val="none"/>
              </w:rPr>
              <w:t>洗手裤</w:t>
            </w:r>
          </w:p>
        </w:tc>
        <w:tc>
          <w:tcPr>
            <w:tcW w:w="3367" w:type="dxa"/>
            <w:tcBorders>
              <w:tl2br w:val="nil"/>
              <w:tr2bl w:val="nil"/>
            </w:tcBorders>
            <w:tcMar>
              <w:top w:w="0" w:type="dxa"/>
              <w:left w:w="105" w:type="dxa"/>
              <w:bottom w:w="0" w:type="dxa"/>
              <w:right w:w="105" w:type="dxa"/>
            </w:tcMar>
            <w:vAlign w:val="top"/>
          </w:tcPr>
          <w:p w14:paraId="53CA717D">
            <w:pPr>
              <w:pStyle w:val="12"/>
              <w:ind w:firstLine="380"/>
              <w:jc w:val="both"/>
              <w:rPr>
                <w:highlight w:val="none"/>
              </w:rPr>
            </w:pPr>
            <w:r>
              <w:rPr>
                <w:rFonts w:ascii="仿宋_GB2312" w:hAnsi="仿宋_GB2312" w:eastAsia="仿宋_GB2312" w:cs="仿宋_GB2312"/>
                <w:sz w:val="24"/>
                <w:highlight w:val="none"/>
              </w:rPr>
              <w:t>64824</w:t>
            </w:r>
          </w:p>
        </w:tc>
      </w:tr>
      <w:tr w14:paraId="1C9E6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5B0B18C4">
            <w:pPr>
              <w:pStyle w:val="12"/>
              <w:ind w:firstLine="380"/>
              <w:jc w:val="both"/>
              <w:rPr>
                <w:highlight w:val="none"/>
              </w:rPr>
            </w:pPr>
            <w:r>
              <w:rPr>
                <w:rFonts w:ascii="仿宋_GB2312" w:hAnsi="仿宋_GB2312" w:eastAsia="仿宋_GB2312" w:cs="仿宋_GB2312"/>
                <w:sz w:val="24"/>
                <w:highlight w:val="none"/>
              </w:rPr>
              <w:t>15</w:t>
            </w:r>
          </w:p>
        </w:tc>
        <w:tc>
          <w:tcPr>
            <w:tcW w:w="3730" w:type="dxa"/>
            <w:tcBorders>
              <w:tl2br w:val="nil"/>
              <w:tr2bl w:val="nil"/>
            </w:tcBorders>
            <w:tcMar>
              <w:top w:w="0" w:type="dxa"/>
              <w:left w:w="105" w:type="dxa"/>
              <w:bottom w:w="0" w:type="dxa"/>
              <w:right w:w="105" w:type="dxa"/>
            </w:tcMar>
            <w:vAlign w:val="top"/>
          </w:tcPr>
          <w:p w14:paraId="7DBD8042">
            <w:pPr>
              <w:pStyle w:val="12"/>
              <w:ind w:firstLine="380"/>
              <w:jc w:val="both"/>
              <w:rPr>
                <w:highlight w:val="none"/>
              </w:rPr>
            </w:pPr>
            <w:r>
              <w:rPr>
                <w:rFonts w:ascii="仿宋_GB2312" w:hAnsi="仿宋_GB2312" w:eastAsia="仿宋_GB2312" w:cs="仿宋_GB2312"/>
                <w:sz w:val="24"/>
                <w:highlight w:val="none"/>
              </w:rPr>
              <w:t>中单</w:t>
            </w:r>
          </w:p>
        </w:tc>
        <w:tc>
          <w:tcPr>
            <w:tcW w:w="3367" w:type="dxa"/>
            <w:tcBorders>
              <w:tl2br w:val="nil"/>
              <w:tr2bl w:val="nil"/>
            </w:tcBorders>
            <w:tcMar>
              <w:top w:w="0" w:type="dxa"/>
              <w:left w:w="105" w:type="dxa"/>
              <w:bottom w:w="0" w:type="dxa"/>
              <w:right w:w="105" w:type="dxa"/>
            </w:tcMar>
            <w:vAlign w:val="top"/>
          </w:tcPr>
          <w:p w14:paraId="3B65A343">
            <w:pPr>
              <w:pStyle w:val="12"/>
              <w:ind w:firstLine="380"/>
              <w:jc w:val="both"/>
              <w:rPr>
                <w:highlight w:val="none"/>
              </w:rPr>
            </w:pPr>
            <w:r>
              <w:rPr>
                <w:rFonts w:ascii="仿宋_GB2312" w:hAnsi="仿宋_GB2312" w:eastAsia="仿宋_GB2312" w:cs="仿宋_GB2312"/>
                <w:sz w:val="24"/>
                <w:highlight w:val="none"/>
              </w:rPr>
              <w:t>316650</w:t>
            </w:r>
          </w:p>
        </w:tc>
      </w:tr>
      <w:tr w14:paraId="39E27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027050FA">
            <w:pPr>
              <w:pStyle w:val="12"/>
              <w:ind w:firstLine="380"/>
              <w:jc w:val="both"/>
              <w:rPr>
                <w:highlight w:val="none"/>
              </w:rPr>
            </w:pPr>
            <w:r>
              <w:rPr>
                <w:rFonts w:ascii="仿宋_GB2312" w:hAnsi="仿宋_GB2312" w:eastAsia="仿宋_GB2312" w:cs="仿宋_GB2312"/>
                <w:sz w:val="24"/>
                <w:highlight w:val="none"/>
              </w:rPr>
              <w:t>16</w:t>
            </w:r>
          </w:p>
        </w:tc>
        <w:tc>
          <w:tcPr>
            <w:tcW w:w="3730" w:type="dxa"/>
            <w:tcBorders>
              <w:tl2br w:val="nil"/>
              <w:tr2bl w:val="nil"/>
            </w:tcBorders>
            <w:tcMar>
              <w:top w:w="0" w:type="dxa"/>
              <w:left w:w="105" w:type="dxa"/>
              <w:bottom w:w="0" w:type="dxa"/>
              <w:right w:w="105" w:type="dxa"/>
            </w:tcMar>
            <w:vAlign w:val="top"/>
          </w:tcPr>
          <w:p w14:paraId="3DC2F854">
            <w:pPr>
              <w:pStyle w:val="12"/>
              <w:ind w:firstLine="380"/>
              <w:jc w:val="both"/>
              <w:rPr>
                <w:highlight w:val="none"/>
              </w:rPr>
            </w:pPr>
            <w:r>
              <w:rPr>
                <w:rFonts w:ascii="仿宋_GB2312" w:hAnsi="仿宋_GB2312" w:eastAsia="仿宋_GB2312" w:cs="仿宋_GB2312"/>
                <w:sz w:val="24"/>
                <w:highlight w:val="none"/>
              </w:rPr>
              <w:t>治疗巾</w:t>
            </w:r>
          </w:p>
        </w:tc>
        <w:tc>
          <w:tcPr>
            <w:tcW w:w="3367" w:type="dxa"/>
            <w:tcBorders>
              <w:tl2br w:val="nil"/>
              <w:tr2bl w:val="nil"/>
            </w:tcBorders>
            <w:tcMar>
              <w:top w:w="0" w:type="dxa"/>
              <w:left w:w="105" w:type="dxa"/>
              <w:bottom w:w="0" w:type="dxa"/>
              <w:right w:w="105" w:type="dxa"/>
            </w:tcMar>
            <w:vAlign w:val="top"/>
          </w:tcPr>
          <w:p w14:paraId="1E3A0AC9">
            <w:pPr>
              <w:pStyle w:val="12"/>
              <w:ind w:firstLine="380"/>
              <w:jc w:val="both"/>
              <w:rPr>
                <w:highlight w:val="none"/>
              </w:rPr>
            </w:pPr>
            <w:r>
              <w:rPr>
                <w:rFonts w:ascii="仿宋_GB2312" w:hAnsi="仿宋_GB2312" w:eastAsia="仿宋_GB2312" w:cs="仿宋_GB2312"/>
                <w:sz w:val="24"/>
                <w:highlight w:val="none"/>
              </w:rPr>
              <w:t>94356</w:t>
            </w:r>
          </w:p>
        </w:tc>
      </w:tr>
      <w:tr w14:paraId="7C728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093FFB46">
            <w:pPr>
              <w:pStyle w:val="12"/>
              <w:ind w:firstLine="380"/>
              <w:jc w:val="both"/>
              <w:rPr>
                <w:highlight w:val="none"/>
              </w:rPr>
            </w:pPr>
            <w:r>
              <w:rPr>
                <w:rFonts w:ascii="仿宋_GB2312" w:hAnsi="仿宋_GB2312" w:eastAsia="仿宋_GB2312" w:cs="仿宋_GB2312"/>
                <w:sz w:val="24"/>
                <w:highlight w:val="none"/>
              </w:rPr>
              <w:t>17</w:t>
            </w:r>
          </w:p>
        </w:tc>
        <w:tc>
          <w:tcPr>
            <w:tcW w:w="3730" w:type="dxa"/>
            <w:tcBorders>
              <w:tl2br w:val="nil"/>
              <w:tr2bl w:val="nil"/>
            </w:tcBorders>
            <w:tcMar>
              <w:top w:w="0" w:type="dxa"/>
              <w:left w:w="105" w:type="dxa"/>
              <w:bottom w:w="0" w:type="dxa"/>
              <w:right w:w="105" w:type="dxa"/>
            </w:tcMar>
            <w:vAlign w:val="top"/>
          </w:tcPr>
          <w:p w14:paraId="2E990DC9">
            <w:pPr>
              <w:pStyle w:val="12"/>
              <w:ind w:firstLine="380"/>
              <w:jc w:val="both"/>
              <w:rPr>
                <w:highlight w:val="none"/>
              </w:rPr>
            </w:pPr>
            <w:r>
              <w:rPr>
                <w:rFonts w:ascii="仿宋_GB2312" w:hAnsi="仿宋_GB2312" w:eastAsia="仿宋_GB2312" w:cs="仿宋_GB2312"/>
                <w:sz w:val="24"/>
                <w:highlight w:val="none"/>
              </w:rPr>
              <w:t>中包布</w:t>
            </w:r>
          </w:p>
        </w:tc>
        <w:tc>
          <w:tcPr>
            <w:tcW w:w="3367" w:type="dxa"/>
            <w:tcBorders>
              <w:tl2br w:val="nil"/>
              <w:tr2bl w:val="nil"/>
            </w:tcBorders>
            <w:tcMar>
              <w:top w:w="0" w:type="dxa"/>
              <w:left w:w="105" w:type="dxa"/>
              <w:bottom w:w="0" w:type="dxa"/>
              <w:right w:w="105" w:type="dxa"/>
            </w:tcMar>
            <w:vAlign w:val="top"/>
          </w:tcPr>
          <w:p w14:paraId="6A128DFE">
            <w:pPr>
              <w:pStyle w:val="12"/>
              <w:ind w:firstLine="380"/>
              <w:jc w:val="both"/>
              <w:rPr>
                <w:highlight w:val="none"/>
              </w:rPr>
            </w:pPr>
            <w:r>
              <w:rPr>
                <w:rFonts w:ascii="仿宋_GB2312" w:hAnsi="仿宋_GB2312" w:eastAsia="仿宋_GB2312" w:cs="仿宋_GB2312"/>
                <w:sz w:val="24"/>
                <w:highlight w:val="none"/>
              </w:rPr>
              <w:t>38322</w:t>
            </w:r>
          </w:p>
        </w:tc>
      </w:tr>
      <w:tr w14:paraId="15228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7893FDA7">
            <w:pPr>
              <w:pStyle w:val="12"/>
              <w:ind w:firstLine="380"/>
              <w:jc w:val="both"/>
              <w:rPr>
                <w:highlight w:val="none"/>
              </w:rPr>
            </w:pPr>
            <w:r>
              <w:rPr>
                <w:rFonts w:ascii="仿宋_GB2312" w:hAnsi="仿宋_GB2312" w:eastAsia="仿宋_GB2312" w:cs="仿宋_GB2312"/>
                <w:sz w:val="24"/>
                <w:highlight w:val="none"/>
              </w:rPr>
              <w:t>18</w:t>
            </w:r>
          </w:p>
        </w:tc>
        <w:tc>
          <w:tcPr>
            <w:tcW w:w="3730" w:type="dxa"/>
            <w:tcBorders>
              <w:tl2br w:val="nil"/>
              <w:tr2bl w:val="nil"/>
            </w:tcBorders>
            <w:tcMar>
              <w:top w:w="0" w:type="dxa"/>
              <w:left w:w="105" w:type="dxa"/>
              <w:bottom w:w="0" w:type="dxa"/>
              <w:right w:w="105" w:type="dxa"/>
            </w:tcMar>
            <w:vAlign w:val="top"/>
          </w:tcPr>
          <w:p w14:paraId="38D6C879">
            <w:pPr>
              <w:pStyle w:val="12"/>
              <w:ind w:firstLine="380"/>
              <w:jc w:val="both"/>
              <w:rPr>
                <w:highlight w:val="none"/>
              </w:rPr>
            </w:pPr>
            <w:r>
              <w:rPr>
                <w:rFonts w:ascii="仿宋_GB2312" w:hAnsi="仿宋_GB2312" w:eastAsia="仿宋_GB2312" w:cs="仿宋_GB2312"/>
                <w:sz w:val="24"/>
                <w:highlight w:val="none"/>
              </w:rPr>
              <w:t>小包布</w:t>
            </w:r>
          </w:p>
        </w:tc>
        <w:tc>
          <w:tcPr>
            <w:tcW w:w="3367" w:type="dxa"/>
            <w:tcBorders>
              <w:tl2br w:val="nil"/>
              <w:tr2bl w:val="nil"/>
            </w:tcBorders>
            <w:tcMar>
              <w:top w:w="0" w:type="dxa"/>
              <w:left w:w="105" w:type="dxa"/>
              <w:bottom w:w="0" w:type="dxa"/>
              <w:right w:w="105" w:type="dxa"/>
            </w:tcMar>
            <w:vAlign w:val="top"/>
          </w:tcPr>
          <w:p w14:paraId="1B9BCE0A">
            <w:pPr>
              <w:pStyle w:val="12"/>
              <w:ind w:firstLine="380"/>
              <w:jc w:val="both"/>
              <w:rPr>
                <w:highlight w:val="none"/>
              </w:rPr>
            </w:pPr>
            <w:r>
              <w:rPr>
                <w:rFonts w:ascii="仿宋_GB2312" w:hAnsi="仿宋_GB2312" w:eastAsia="仿宋_GB2312" w:cs="仿宋_GB2312"/>
                <w:sz w:val="24"/>
                <w:highlight w:val="none"/>
              </w:rPr>
              <w:t>77791</w:t>
            </w:r>
          </w:p>
        </w:tc>
      </w:tr>
      <w:tr w14:paraId="27089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0BB0D28">
            <w:pPr>
              <w:pStyle w:val="12"/>
              <w:ind w:firstLine="380"/>
              <w:jc w:val="both"/>
              <w:rPr>
                <w:highlight w:val="none"/>
              </w:rPr>
            </w:pPr>
            <w:r>
              <w:rPr>
                <w:rFonts w:ascii="仿宋_GB2312" w:hAnsi="仿宋_GB2312" w:eastAsia="仿宋_GB2312" w:cs="仿宋_GB2312"/>
                <w:sz w:val="24"/>
                <w:highlight w:val="none"/>
              </w:rPr>
              <w:t>19</w:t>
            </w:r>
          </w:p>
        </w:tc>
        <w:tc>
          <w:tcPr>
            <w:tcW w:w="3730" w:type="dxa"/>
            <w:tcBorders>
              <w:tl2br w:val="nil"/>
              <w:tr2bl w:val="nil"/>
            </w:tcBorders>
            <w:tcMar>
              <w:top w:w="0" w:type="dxa"/>
              <w:left w:w="105" w:type="dxa"/>
              <w:bottom w:w="0" w:type="dxa"/>
              <w:right w:w="105" w:type="dxa"/>
            </w:tcMar>
            <w:vAlign w:val="top"/>
          </w:tcPr>
          <w:p w14:paraId="5BD05B32">
            <w:pPr>
              <w:pStyle w:val="12"/>
              <w:ind w:firstLine="380"/>
              <w:jc w:val="both"/>
              <w:rPr>
                <w:highlight w:val="none"/>
              </w:rPr>
            </w:pPr>
            <w:r>
              <w:rPr>
                <w:rFonts w:ascii="仿宋_GB2312" w:hAnsi="仿宋_GB2312" w:eastAsia="仿宋_GB2312" w:cs="仿宋_GB2312"/>
                <w:sz w:val="24"/>
                <w:highlight w:val="none"/>
              </w:rPr>
              <w:t>开腹单</w:t>
            </w:r>
          </w:p>
        </w:tc>
        <w:tc>
          <w:tcPr>
            <w:tcW w:w="3367" w:type="dxa"/>
            <w:tcBorders>
              <w:tl2br w:val="nil"/>
              <w:tr2bl w:val="nil"/>
            </w:tcBorders>
            <w:tcMar>
              <w:top w:w="0" w:type="dxa"/>
              <w:left w:w="105" w:type="dxa"/>
              <w:bottom w:w="0" w:type="dxa"/>
              <w:right w:w="105" w:type="dxa"/>
            </w:tcMar>
            <w:vAlign w:val="top"/>
          </w:tcPr>
          <w:p w14:paraId="6566B6A9">
            <w:pPr>
              <w:pStyle w:val="12"/>
              <w:ind w:firstLine="380"/>
              <w:jc w:val="both"/>
              <w:rPr>
                <w:highlight w:val="none"/>
              </w:rPr>
            </w:pPr>
            <w:r>
              <w:rPr>
                <w:rFonts w:ascii="仿宋_GB2312" w:hAnsi="仿宋_GB2312" w:eastAsia="仿宋_GB2312" w:cs="仿宋_GB2312"/>
                <w:sz w:val="24"/>
                <w:highlight w:val="none"/>
              </w:rPr>
              <w:t>6547</w:t>
            </w:r>
          </w:p>
        </w:tc>
      </w:tr>
      <w:tr w14:paraId="39B3F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758AA248">
            <w:pPr>
              <w:pStyle w:val="12"/>
              <w:ind w:firstLine="380"/>
              <w:jc w:val="both"/>
              <w:rPr>
                <w:highlight w:val="none"/>
              </w:rPr>
            </w:pPr>
            <w:r>
              <w:rPr>
                <w:rFonts w:ascii="仿宋_GB2312" w:hAnsi="仿宋_GB2312" w:eastAsia="仿宋_GB2312" w:cs="仿宋_GB2312"/>
                <w:sz w:val="24"/>
                <w:highlight w:val="none"/>
              </w:rPr>
              <w:t>20</w:t>
            </w:r>
          </w:p>
        </w:tc>
        <w:tc>
          <w:tcPr>
            <w:tcW w:w="3730" w:type="dxa"/>
            <w:tcBorders>
              <w:tl2br w:val="nil"/>
              <w:tr2bl w:val="nil"/>
            </w:tcBorders>
            <w:tcMar>
              <w:top w:w="0" w:type="dxa"/>
              <w:left w:w="105" w:type="dxa"/>
              <w:bottom w:w="0" w:type="dxa"/>
              <w:right w:w="105" w:type="dxa"/>
            </w:tcMar>
            <w:vAlign w:val="top"/>
          </w:tcPr>
          <w:p w14:paraId="58A6B0F2">
            <w:pPr>
              <w:pStyle w:val="12"/>
              <w:ind w:firstLine="380"/>
              <w:jc w:val="both"/>
              <w:rPr>
                <w:highlight w:val="none"/>
              </w:rPr>
            </w:pPr>
            <w:r>
              <w:rPr>
                <w:rFonts w:ascii="仿宋_GB2312" w:hAnsi="仿宋_GB2312" w:eastAsia="仿宋_GB2312" w:cs="仿宋_GB2312"/>
                <w:sz w:val="24"/>
                <w:highlight w:val="none"/>
              </w:rPr>
              <w:t>大孔巾</w:t>
            </w:r>
          </w:p>
        </w:tc>
        <w:tc>
          <w:tcPr>
            <w:tcW w:w="3367" w:type="dxa"/>
            <w:tcBorders>
              <w:tl2br w:val="nil"/>
              <w:tr2bl w:val="nil"/>
            </w:tcBorders>
            <w:tcMar>
              <w:top w:w="0" w:type="dxa"/>
              <w:left w:w="105" w:type="dxa"/>
              <w:bottom w:w="0" w:type="dxa"/>
              <w:right w:w="105" w:type="dxa"/>
            </w:tcMar>
            <w:vAlign w:val="top"/>
          </w:tcPr>
          <w:p w14:paraId="0A24B8D3">
            <w:pPr>
              <w:pStyle w:val="12"/>
              <w:ind w:firstLine="380"/>
              <w:jc w:val="both"/>
              <w:rPr>
                <w:highlight w:val="none"/>
              </w:rPr>
            </w:pPr>
            <w:r>
              <w:rPr>
                <w:rFonts w:ascii="仿宋_GB2312" w:hAnsi="仿宋_GB2312" w:eastAsia="仿宋_GB2312" w:cs="仿宋_GB2312"/>
                <w:sz w:val="24"/>
                <w:highlight w:val="none"/>
              </w:rPr>
              <w:t>13504</w:t>
            </w:r>
          </w:p>
        </w:tc>
      </w:tr>
      <w:tr w14:paraId="34334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B144E32">
            <w:pPr>
              <w:pStyle w:val="12"/>
              <w:ind w:firstLine="380"/>
              <w:jc w:val="both"/>
              <w:rPr>
                <w:highlight w:val="none"/>
              </w:rPr>
            </w:pPr>
            <w:r>
              <w:rPr>
                <w:rFonts w:ascii="仿宋_GB2312" w:hAnsi="仿宋_GB2312" w:eastAsia="仿宋_GB2312" w:cs="仿宋_GB2312"/>
                <w:sz w:val="24"/>
                <w:highlight w:val="none"/>
              </w:rPr>
              <w:t>21</w:t>
            </w:r>
          </w:p>
        </w:tc>
        <w:tc>
          <w:tcPr>
            <w:tcW w:w="3730" w:type="dxa"/>
            <w:tcBorders>
              <w:tl2br w:val="nil"/>
              <w:tr2bl w:val="nil"/>
            </w:tcBorders>
            <w:tcMar>
              <w:top w:w="0" w:type="dxa"/>
              <w:left w:w="105" w:type="dxa"/>
              <w:bottom w:w="0" w:type="dxa"/>
              <w:right w:w="105" w:type="dxa"/>
            </w:tcMar>
            <w:vAlign w:val="top"/>
          </w:tcPr>
          <w:p w14:paraId="6650F690">
            <w:pPr>
              <w:pStyle w:val="12"/>
              <w:ind w:firstLine="380"/>
              <w:jc w:val="both"/>
              <w:rPr>
                <w:highlight w:val="none"/>
              </w:rPr>
            </w:pPr>
            <w:r>
              <w:rPr>
                <w:rFonts w:ascii="仿宋_GB2312" w:hAnsi="仿宋_GB2312" w:eastAsia="仿宋_GB2312" w:cs="仿宋_GB2312"/>
                <w:sz w:val="24"/>
                <w:highlight w:val="none"/>
              </w:rPr>
              <w:t>器械罩</w:t>
            </w:r>
          </w:p>
        </w:tc>
        <w:tc>
          <w:tcPr>
            <w:tcW w:w="3367" w:type="dxa"/>
            <w:tcBorders>
              <w:tl2br w:val="nil"/>
              <w:tr2bl w:val="nil"/>
            </w:tcBorders>
            <w:tcMar>
              <w:top w:w="0" w:type="dxa"/>
              <w:left w:w="105" w:type="dxa"/>
              <w:bottom w:w="0" w:type="dxa"/>
              <w:right w:w="105" w:type="dxa"/>
            </w:tcMar>
            <w:vAlign w:val="top"/>
          </w:tcPr>
          <w:p w14:paraId="2420615C">
            <w:pPr>
              <w:pStyle w:val="12"/>
              <w:ind w:firstLine="380"/>
              <w:jc w:val="both"/>
              <w:rPr>
                <w:highlight w:val="none"/>
              </w:rPr>
            </w:pPr>
            <w:r>
              <w:rPr>
                <w:rFonts w:ascii="仿宋_GB2312" w:hAnsi="仿宋_GB2312" w:eastAsia="仿宋_GB2312" w:cs="仿宋_GB2312"/>
                <w:sz w:val="24"/>
                <w:highlight w:val="none"/>
              </w:rPr>
              <w:t>541</w:t>
            </w:r>
          </w:p>
        </w:tc>
      </w:tr>
      <w:tr w14:paraId="263BD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0E854357">
            <w:pPr>
              <w:pStyle w:val="12"/>
              <w:ind w:firstLine="380"/>
              <w:jc w:val="both"/>
              <w:rPr>
                <w:highlight w:val="none"/>
              </w:rPr>
            </w:pPr>
            <w:r>
              <w:rPr>
                <w:rFonts w:ascii="仿宋_GB2312" w:hAnsi="仿宋_GB2312" w:eastAsia="仿宋_GB2312" w:cs="仿宋_GB2312"/>
                <w:sz w:val="24"/>
                <w:highlight w:val="none"/>
              </w:rPr>
              <w:t>22</w:t>
            </w:r>
          </w:p>
        </w:tc>
        <w:tc>
          <w:tcPr>
            <w:tcW w:w="3730" w:type="dxa"/>
            <w:tcBorders>
              <w:tl2br w:val="nil"/>
              <w:tr2bl w:val="nil"/>
            </w:tcBorders>
            <w:tcMar>
              <w:top w:w="0" w:type="dxa"/>
              <w:left w:w="105" w:type="dxa"/>
              <w:bottom w:w="0" w:type="dxa"/>
              <w:right w:w="105" w:type="dxa"/>
            </w:tcMar>
            <w:vAlign w:val="top"/>
          </w:tcPr>
          <w:p w14:paraId="45127187">
            <w:pPr>
              <w:pStyle w:val="12"/>
              <w:ind w:firstLine="380"/>
              <w:jc w:val="both"/>
              <w:rPr>
                <w:highlight w:val="none"/>
              </w:rPr>
            </w:pPr>
            <w:r>
              <w:rPr>
                <w:rFonts w:ascii="仿宋_GB2312" w:hAnsi="仿宋_GB2312" w:eastAsia="仿宋_GB2312" w:cs="仿宋_GB2312"/>
                <w:sz w:val="24"/>
                <w:highlight w:val="none"/>
              </w:rPr>
              <w:t>腔镜单</w:t>
            </w:r>
          </w:p>
        </w:tc>
        <w:tc>
          <w:tcPr>
            <w:tcW w:w="3367" w:type="dxa"/>
            <w:tcBorders>
              <w:tl2br w:val="nil"/>
              <w:tr2bl w:val="nil"/>
            </w:tcBorders>
            <w:tcMar>
              <w:top w:w="0" w:type="dxa"/>
              <w:left w:w="105" w:type="dxa"/>
              <w:bottom w:w="0" w:type="dxa"/>
              <w:right w:w="105" w:type="dxa"/>
            </w:tcMar>
            <w:vAlign w:val="top"/>
          </w:tcPr>
          <w:p w14:paraId="71328960">
            <w:pPr>
              <w:pStyle w:val="12"/>
              <w:ind w:firstLine="380"/>
              <w:jc w:val="both"/>
              <w:rPr>
                <w:highlight w:val="none"/>
              </w:rPr>
            </w:pPr>
            <w:r>
              <w:rPr>
                <w:rFonts w:ascii="仿宋_GB2312" w:hAnsi="仿宋_GB2312" w:eastAsia="仿宋_GB2312" w:cs="仿宋_GB2312"/>
                <w:sz w:val="24"/>
                <w:highlight w:val="none"/>
              </w:rPr>
              <w:t>6018</w:t>
            </w:r>
          </w:p>
        </w:tc>
      </w:tr>
      <w:tr w14:paraId="787B7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62507D91">
            <w:pPr>
              <w:pStyle w:val="12"/>
              <w:ind w:firstLine="380"/>
              <w:jc w:val="both"/>
              <w:rPr>
                <w:highlight w:val="none"/>
              </w:rPr>
            </w:pPr>
            <w:r>
              <w:rPr>
                <w:rFonts w:ascii="仿宋_GB2312" w:hAnsi="仿宋_GB2312" w:eastAsia="仿宋_GB2312" w:cs="仿宋_GB2312"/>
                <w:sz w:val="24"/>
                <w:highlight w:val="none"/>
              </w:rPr>
              <w:t>23</w:t>
            </w:r>
          </w:p>
        </w:tc>
        <w:tc>
          <w:tcPr>
            <w:tcW w:w="3730" w:type="dxa"/>
            <w:tcBorders>
              <w:tl2br w:val="nil"/>
              <w:tr2bl w:val="nil"/>
            </w:tcBorders>
            <w:tcMar>
              <w:top w:w="0" w:type="dxa"/>
              <w:left w:w="105" w:type="dxa"/>
              <w:bottom w:w="0" w:type="dxa"/>
              <w:right w:w="105" w:type="dxa"/>
            </w:tcMar>
            <w:vAlign w:val="top"/>
          </w:tcPr>
          <w:p w14:paraId="5BC08A9A">
            <w:pPr>
              <w:pStyle w:val="12"/>
              <w:ind w:firstLine="380"/>
              <w:jc w:val="both"/>
              <w:rPr>
                <w:highlight w:val="none"/>
              </w:rPr>
            </w:pPr>
            <w:r>
              <w:rPr>
                <w:rFonts w:ascii="仿宋_GB2312" w:hAnsi="仿宋_GB2312" w:eastAsia="仿宋_GB2312" w:cs="仿宋_GB2312"/>
                <w:sz w:val="24"/>
                <w:highlight w:val="none"/>
              </w:rPr>
              <w:t>毛巾</w:t>
            </w:r>
          </w:p>
        </w:tc>
        <w:tc>
          <w:tcPr>
            <w:tcW w:w="3367" w:type="dxa"/>
            <w:tcBorders>
              <w:tl2br w:val="nil"/>
              <w:tr2bl w:val="nil"/>
            </w:tcBorders>
            <w:tcMar>
              <w:top w:w="0" w:type="dxa"/>
              <w:left w:w="105" w:type="dxa"/>
              <w:bottom w:w="0" w:type="dxa"/>
              <w:right w:w="105" w:type="dxa"/>
            </w:tcMar>
            <w:vAlign w:val="top"/>
          </w:tcPr>
          <w:p w14:paraId="05AE6980">
            <w:pPr>
              <w:pStyle w:val="12"/>
              <w:ind w:firstLine="380"/>
              <w:jc w:val="both"/>
              <w:rPr>
                <w:highlight w:val="none"/>
              </w:rPr>
            </w:pPr>
            <w:r>
              <w:rPr>
                <w:rFonts w:ascii="仿宋_GB2312" w:hAnsi="仿宋_GB2312" w:eastAsia="仿宋_GB2312" w:cs="仿宋_GB2312"/>
                <w:sz w:val="24"/>
                <w:highlight w:val="none"/>
              </w:rPr>
              <w:t>3514</w:t>
            </w:r>
          </w:p>
        </w:tc>
      </w:tr>
      <w:tr w14:paraId="456DF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74D8A3E0">
            <w:pPr>
              <w:pStyle w:val="12"/>
              <w:ind w:firstLine="380"/>
              <w:jc w:val="both"/>
              <w:rPr>
                <w:highlight w:val="none"/>
              </w:rPr>
            </w:pPr>
            <w:r>
              <w:rPr>
                <w:rFonts w:ascii="仿宋_GB2312" w:hAnsi="仿宋_GB2312" w:eastAsia="仿宋_GB2312" w:cs="仿宋_GB2312"/>
                <w:sz w:val="24"/>
                <w:highlight w:val="none"/>
              </w:rPr>
              <w:t>24</w:t>
            </w:r>
          </w:p>
        </w:tc>
        <w:tc>
          <w:tcPr>
            <w:tcW w:w="3730" w:type="dxa"/>
            <w:tcBorders>
              <w:tl2br w:val="nil"/>
              <w:tr2bl w:val="nil"/>
            </w:tcBorders>
            <w:tcMar>
              <w:top w:w="0" w:type="dxa"/>
              <w:left w:w="105" w:type="dxa"/>
              <w:bottom w:w="0" w:type="dxa"/>
              <w:right w:w="105" w:type="dxa"/>
            </w:tcMar>
            <w:vAlign w:val="top"/>
          </w:tcPr>
          <w:p w14:paraId="6C4DD375">
            <w:pPr>
              <w:pStyle w:val="12"/>
              <w:ind w:firstLine="380"/>
              <w:jc w:val="both"/>
              <w:rPr>
                <w:highlight w:val="none"/>
              </w:rPr>
            </w:pPr>
            <w:r>
              <w:rPr>
                <w:rFonts w:ascii="仿宋_GB2312" w:hAnsi="仿宋_GB2312" w:eastAsia="仿宋_GB2312" w:cs="仿宋_GB2312"/>
                <w:sz w:val="24"/>
                <w:highlight w:val="none"/>
              </w:rPr>
              <w:t>窗帘、床帘</w:t>
            </w:r>
          </w:p>
        </w:tc>
        <w:tc>
          <w:tcPr>
            <w:tcW w:w="3367" w:type="dxa"/>
            <w:tcBorders>
              <w:tl2br w:val="nil"/>
              <w:tr2bl w:val="nil"/>
            </w:tcBorders>
            <w:tcMar>
              <w:top w:w="0" w:type="dxa"/>
              <w:left w:w="105" w:type="dxa"/>
              <w:bottom w:w="0" w:type="dxa"/>
              <w:right w:w="105" w:type="dxa"/>
            </w:tcMar>
            <w:vAlign w:val="top"/>
          </w:tcPr>
          <w:p w14:paraId="63A8CBBF">
            <w:pPr>
              <w:pStyle w:val="12"/>
              <w:ind w:firstLine="380"/>
              <w:jc w:val="both"/>
              <w:rPr>
                <w:highlight w:val="none"/>
              </w:rPr>
            </w:pPr>
            <w:r>
              <w:rPr>
                <w:rFonts w:ascii="仿宋_GB2312" w:hAnsi="仿宋_GB2312" w:eastAsia="仿宋_GB2312" w:cs="仿宋_GB2312"/>
                <w:sz w:val="24"/>
                <w:highlight w:val="none"/>
              </w:rPr>
              <w:t>4497</w:t>
            </w:r>
          </w:p>
        </w:tc>
      </w:tr>
      <w:tr w14:paraId="3DDA4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3C217795">
            <w:pPr>
              <w:pStyle w:val="12"/>
              <w:ind w:firstLine="380"/>
              <w:jc w:val="both"/>
              <w:rPr>
                <w:highlight w:val="none"/>
              </w:rPr>
            </w:pPr>
            <w:r>
              <w:rPr>
                <w:rFonts w:ascii="仿宋_GB2312" w:hAnsi="仿宋_GB2312" w:eastAsia="仿宋_GB2312" w:cs="仿宋_GB2312"/>
                <w:sz w:val="24"/>
                <w:highlight w:val="none"/>
              </w:rPr>
              <w:t>25</w:t>
            </w:r>
          </w:p>
        </w:tc>
        <w:tc>
          <w:tcPr>
            <w:tcW w:w="3730" w:type="dxa"/>
            <w:tcBorders>
              <w:tl2br w:val="nil"/>
              <w:tr2bl w:val="nil"/>
            </w:tcBorders>
            <w:tcMar>
              <w:top w:w="0" w:type="dxa"/>
              <w:left w:w="105" w:type="dxa"/>
              <w:bottom w:w="0" w:type="dxa"/>
              <w:right w:w="105" w:type="dxa"/>
            </w:tcMar>
            <w:vAlign w:val="top"/>
          </w:tcPr>
          <w:p w14:paraId="2EB7A48B">
            <w:pPr>
              <w:pStyle w:val="12"/>
              <w:ind w:firstLine="380"/>
              <w:jc w:val="both"/>
              <w:rPr>
                <w:highlight w:val="none"/>
              </w:rPr>
            </w:pPr>
            <w:r>
              <w:rPr>
                <w:rFonts w:ascii="仿宋_GB2312" w:hAnsi="仿宋_GB2312" w:eastAsia="仿宋_GB2312" w:cs="仿宋_GB2312"/>
                <w:sz w:val="24"/>
                <w:highlight w:val="none"/>
              </w:rPr>
              <w:t>一区约束带</w:t>
            </w:r>
          </w:p>
        </w:tc>
        <w:tc>
          <w:tcPr>
            <w:tcW w:w="3367" w:type="dxa"/>
            <w:tcBorders>
              <w:tl2br w:val="nil"/>
              <w:tr2bl w:val="nil"/>
            </w:tcBorders>
            <w:tcMar>
              <w:top w:w="0" w:type="dxa"/>
              <w:left w:w="105" w:type="dxa"/>
              <w:bottom w:w="0" w:type="dxa"/>
              <w:right w:w="105" w:type="dxa"/>
            </w:tcMar>
            <w:vAlign w:val="top"/>
          </w:tcPr>
          <w:p w14:paraId="59A25B94">
            <w:pPr>
              <w:pStyle w:val="12"/>
              <w:ind w:firstLine="380"/>
              <w:jc w:val="both"/>
              <w:rPr>
                <w:highlight w:val="none"/>
              </w:rPr>
            </w:pPr>
            <w:r>
              <w:rPr>
                <w:rFonts w:ascii="仿宋_GB2312" w:hAnsi="仿宋_GB2312" w:eastAsia="仿宋_GB2312" w:cs="仿宋_GB2312"/>
                <w:sz w:val="24"/>
                <w:highlight w:val="none"/>
              </w:rPr>
              <w:t>251</w:t>
            </w:r>
          </w:p>
        </w:tc>
      </w:tr>
      <w:tr w14:paraId="18B39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3325E925">
            <w:pPr>
              <w:pStyle w:val="12"/>
              <w:ind w:firstLine="380"/>
              <w:jc w:val="both"/>
              <w:rPr>
                <w:highlight w:val="none"/>
              </w:rPr>
            </w:pPr>
            <w:r>
              <w:rPr>
                <w:rFonts w:ascii="仿宋_GB2312" w:hAnsi="仿宋_GB2312" w:eastAsia="仿宋_GB2312" w:cs="仿宋_GB2312"/>
                <w:sz w:val="24"/>
                <w:highlight w:val="none"/>
              </w:rPr>
              <w:t>26</w:t>
            </w:r>
          </w:p>
        </w:tc>
        <w:tc>
          <w:tcPr>
            <w:tcW w:w="3730" w:type="dxa"/>
            <w:tcBorders>
              <w:tl2br w:val="nil"/>
              <w:tr2bl w:val="nil"/>
            </w:tcBorders>
            <w:tcMar>
              <w:top w:w="0" w:type="dxa"/>
              <w:left w:w="105" w:type="dxa"/>
              <w:bottom w:w="0" w:type="dxa"/>
              <w:right w:w="105" w:type="dxa"/>
            </w:tcMar>
            <w:vAlign w:val="top"/>
          </w:tcPr>
          <w:p w14:paraId="65A2CBD8">
            <w:pPr>
              <w:pStyle w:val="12"/>
              <w:ind w:firstLine="380"/>
              <w:jc w:val="both"/>
              <w:rPr>
                <w:highlight w:val="none"/>
              </w:rPr>
            </w:pPr>
            <w:r>
              <w:rPr>
                <w:rFonts w:ascii="仿宋_GB2312" w:hAnsi="仿宋_GB2312" w:eastAsia="仿宋_GB2312" w:cs="仿宋_GB2312"/>
                <w:sz w:val="24"/>
                <w:highlight w:val="none"/>
              </w:rPr>
              <w:t>桌布</w:t>
            </w:r>
          </w:p>
        </w:tc>
        <w:tc>
          <w:tcPr>
            <w:tcW w:w="3367" w:type="dxa"/>
            <w:tcBorders>
              <w:tl2br w:val="nil"/>
              <w:tr2bl w:val="nil"/>
            </w:tcBorders>
            <w:tcMar>
              <w:top w:w="0" w:type="dxa"/>
              <w:left w:w="105" w:type="dxa"/>
              <w:bottom w:w="0" w:type="dxa"/>
              <w:right w:w="105" w:type="dxa"/>
            </w:tcMar>
            <w:vAlign w:val="top"/>
          </w:tcPr>
          <w:p w14:paraId="6FF3AEB4">
            <w:pPr>
              <w:pStyle w:val="12"/>
              <w:ind w:firstLine="380"/>
              <w:jc w:val="both"/>
              <w:rPr>
                <w:highlight w:val="none"/>
              </w:rPr>
            </w:pPr>
            <w:r>
              <w:rPr>
                <w:rFonts w:ascii="仿宋_GB2312" w:hAnsi="仿宋_GB2312" w:eastAsia="仿宋_GB2312" w:cs="仿宋_GB2312"/>
                <w:sz w:val="24"/>
                <w:highlight w:val="none"/>
              </w:rPr>
              <w:t>98</w:t>
            </w:r>
          </w:p>
        </w:tc>
      </w:tr>
      <w:tr w14:paraId="36E81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2714288F">
            <w:pPr>
              <w:pStyle w:val="12"/>
              <w:ind w:firstLine="380"/>
              <w:jc w:val="both"/>
              <w:rPr>
                <w:highlight w:val="none"/>
              </w:rPr>
            </w:pPr>
            <w:r>
              <w:rPr>
                <w:rFonts w:ascii="仿宋_GB2312" w:hAnsi="仿宋_GB2312" w:eastAsia="仿宋_GB2312" w:cs="仿宋_GB2312"/>
                <w:sz w:val="24"/>
                <w:highlight w:val="none"/>
              </w:rPr>
              <w:t>27</w:t>
            </w:r>
          </w:p>
        </w:tc>
        <w:tc>
          <w:tcPr>
            <w:tcW w:w="3730" w:type="dxa"/>
            <w:tcBorders>
              <w:tl2br w:val="nil"/>
              <w:tr2bl w:val="nil"/>
            </w:tcBorders>
            <w:tcMar>
              <w:top w:w="0" w:type="dxa"/>
              <w:left w:w="105" w:type="dxa"/>
              <w:bottom w:w="0" w:type="dxa"/>
              <w:right w:w="105" w:type="dxa"/>
            </w:tcMar>
            <w:vAlign w:val="top"/>
          </w:tcPr>
          <w:p w14:paraId="3642BCF4">
            <w:pPr>
              <w:pStyle w:val="12"/>
              <w:ind w:firstLine="380"/>
              <w:jc w:val="both"/>
              <w:rPr>
                <w:highlight w:val="none"/>
              </w:rPr>
            </w:pPr>
            <w:r>
              <w:rPr>
                <w:rFonts w:ascii="仿宋_GB2312" w:hAnsi="仿宋_GB2312" w:eastAsia="仿宋_GB2312" w:cs="仿宋_GB2312"/>
                <w:sz w:val="24"/>
                <w:highlight w:val="none"/>
              </w:rPr>
              <w:t>椅套</w:t>
            </w:r>
          </w:p>
        </w:tc>
        <w:tc>
          <w:tcPr>
            <w:tcW w:w="3367" w:type="dxa"/>
            <w:tcBorders>
              <w:tl2br w:val="nil"/>
              <w:tr2bl w:val="nil"/>
            </w:tcBorders>
            <w:tcMar>
              <w:top w:w="0" w:type="dxa"/>
              <w:left w:w="105" w:type="dxa"/>
              <w:bottom w:w="0" w:type="dxa"/>
              <w:right w:w="105" w:type="dxa"/>
            </w:tcMar>
            <w:vAlign w:val="top"/>
          </w:tcPr>
          <w:p w14:paraId="76C3E742">
            <w:pPr>
              <w:pStyle w:val="12"/>
              <w:ind w:firstLine="380"/>
              <w:jc w:val="both"/>
              <w:rPr>
                <w:highlight w:val="none"/>
              </w:rPr>
            </w:pPr>
            <w:r>
              <w:rPr>
                <w:rFonts w:ascii="仿宋_GB2312" w:hAnsi="仿宋_GB2312" w:eastAsia="仿宋_GB2312" w:cs="仿宋_GB2312"/>
                <w:sz w:val="24"/>
                <w:highlight w:val="none"/>
              </w:rPr>
              <w:t>20</w:t>
            </w:r>
          </w:p>
        </w:tc>
      </w:tr>
      <w:tr w14:paraId="7288B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4BD2CEAF">
            <w:pPr>
              <w:pStyle w:val="12"/>
              <w:ind w:firstLine="380"/>
              <w:jc w:val="both"/>
              <w:rPr>
                <w:highlight w:val="none"/>
              </w:rPr>
            </w:pPr>
            <w:r>
              <w:rPr>
                <w:rFonts w:ascii="仿宋_GB2312" w:hAnsi="仿宋_GB2312" w:eastAsia="仿宋_GB2312" w:cs="仿宋_GB2312"/>
                <w:sz w:val="24"/>
                <w:highlight w:val="none"/>
              </w:rPr>
              <w:t>28</w:t>
            </w:r>
          </w:p>
        </w:tc>
        <w:tc>
          <w:tcPr>
            <w:tcW w:w="3730" w:type="dxa"/>
            <w:tcBorders>
              <w:tl2br w:val="nil"/>
              <w:tr2bl w:val="nil"/>
            </w:tcBorders>
            <w:tcMar>
              <w:top w:w="0" w:type="dxa"/>
              <w:left w:w="105" w:type="dxa"/>
              <w:bottom w:w="0" w:type="dxa"/>
              <w:right w:w="105" w:type="dxa"/>
            </w:tcMar>
            <w:vAlign w:val="top"/>
          </w:tcPr>
          <w:p w14:paraId="6477CB7B">
            <w:pPr>
              <w:pStyle w:val="12"/>
              <w:ind w:firstLine="380"/>
              <w:jc w:val="both"/>
              <w:rPr>
                <w:highlight w:val="none"/>
              </w:rPr>
            </w:pPr>
            <w:r>
              <w:rPr>
                <w:rFonts w:ascii="仿宋_GB2312" w:hAnsi="仿宋_GB2312" w:eastAsia="仿宋_GB2312" w:cs="仿宋_GB2312"/>
                <w:sz w:val="24"/>
                <w:highlight w:val="none"/>
              </w:rPr>
              <w:t>毛毯</w:t>
            </w:r>
          </w:p>
        </w:tc>
        <w:tc>
          <w:tcPr>
            <w:tcW w:w="3367" w:type="dxa"/>
            <w:tcBorders>
              <w:tl2br w:val="nil"/>
              <w:tr2bl w:val="nil"/>
            </w:tcBorders>
            <w:tcMar>
              <w:top w:w="0" w:type="dxa"/>
              <w:left w:w="105" w:type="dxa"/>
              <w:bottom w:w="0" w:type="dxa"/>
              <w:right w:w="105" w:type="dxa"/>
            </w:tcMar>
            <w:vAlign w:val="top"/>
          </w:tcPr>
          <w:p w14:paraId="19A3DAF6">
            <w:pPr>
              <w:pStyle w:val="12"/>
              <w:ind w:firstLine="380"/>
              <w:jc w:val="both"/>
              <w:rPr>
                <w:highlight w:val="none"/>
              </w:rPr>
            </w:pPr>
            <w:r>
              <w:rPr>
                <w:rFonts w:ascii="仿宋_GB2312" w:hAnsi="仿宋_GB2312" w:eastAsia="仿宋_GB2312" w:cs="仿宋_GB2312"/>
                <w:sz w:val="24"/>
                <w:highlight w:val="none"/>
              </w:rPr>
              <w:t>5</w:t>
            </w:r>
          </w:p>
        </w:tc>
      </w:tr>
      <w:tr w14:paraId="0A793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09" w:type="dxa"/>
            <w:tcBorders>
              <w:tl2br w:val="nil"/>
              <w:tr2bl w:val="nil"/>
            </w:tcBorders>
            <w:tcMar>
              <w:top w:w="0" w:type="dxa"/>
              <w:left w:w="105" w:type="dxa"/>
              <w:bottom w:w="0" w:type="dxa"/>
              <w:right w:w="105" w:type="dxa"/>
            </w:tcMar>
            <w:vAlign w:val="top"/>
          </w:tcPr>
          <w:p w14:paraId="0C58FE11">
            <w:pPr>
              <w:pStyle w:val="12"/>
              <w:ind w:firstLine="380"/>
              <w:jc w:val="both"/>
              <w:rPr>
                <w:highlight w:val="none"/>
              </w:rPr>
            </w:pPr>
            <w:r>
              <w:rPr>
                <w:rFonts w:ascii="仿宋_GB2312" w:hAnsi="仿宋_GB2312" w:eastAsia="仿宋_GB2312" w:cs="仿宋_GB2312"/>
                <w:sz w:val="24"/>
                <w:highlight w:val="none"/>
              </w:rPr>
              <w:t>29</w:t>
            </w:r>
          </w:p>
        </w:tc>
        <w:tc>
          <w:tcPr>
            <w:tcW w:w="3730" w:type="dxa"/>
            <w:tcBorders>
              <w:tl2br w:val="nil"/>
              <w:tr2bl w:val="nil"/>
            </w:tcBorders>
            <w:tcMar>
              <w:top w:w="0" w:type="dxa"/>
              <w:left w:w="105" w:type="dxa"/>
              <w:bottom w:w="0" w:type="dxa"/>
              <w:right w:w="105" w:type="dxa"/>
            </w:tcMar>
            <w:vAlign w:val="top"/>
          </w:tcPr>
          <w:p w14:paraId="4C16475D">
            <w:pPr>
              <w:pStyle w:val="12"/>
              <w:ind w:firstLine="380"/>
              <w:jc w:val="both"/>
              <w:rPr>
                <w:highlight w:val="none"/>
              </w:rPr>
            </w:pPr>
            <w:r>
              <w:rPr>
                <w:rFonts w:ascii="仿宋_GB2312" w:hAnsi="仿宋_GB2312" w:eastAsia="仿宋_GB2312" w:cs="仿宋_GB2312"/>
                <w:sz w:val="24"/>
                <w:highlight w:val="none"/>
              </w:rPr>
              <w:t>油布</w:t>
            </w:r>
          </w:p>
        </w:tc>
        <w:tc>
          <w:tcPr>
            <w:tcW w:w="3367" w:type="dxa"/>
            <w:tcBorders>
              <w:tl2br w:val="nil"/>
              <w:tr2bl w:val="nil"/>
            </w:tcBorders>
            <w:tcMar>
              <w:top w:w="0" w:type="dxa"/>
              <w:left w:w="105" w:type="dxa"/>
              <w:bottom w:w="0" w:type="dxa"/>
              <w:right w:w="105" w:type="dxa"/>
            </w:tcMar>
            <w:vAlign w:val="top"/>
          </w:tcPr>
          <w:p w14:paraId="4B196D8C">
            <w:pPr>
              <w:pStyle w:val="12"/>
              <w:ind w:firstLine="380"/>
              <w:jc w:val="both"/>
              <w:rPr>
                <w:highlight w:val="none"/>
              </w:rPr>
            </w:pPr>
            <w:r>
              <w:rPr>
                <w:rFonts w:ascii="仿宋_GB2312" w:hAnsi="仿宋_GB2312" w:eastAsia="仿宋_GB2312" w:cs="仿宋_GB2312"/>
                <w:sz w:val="24"/>
                <w:highlight w:val="none"/>
              </w:rPr>
              <w:t>4</w:t>
            </w:r>
          </w:p>
        </w:tc>
      </w:tr>
    </w:tbl>
    <w:p w14:paraId="7052A592">
      <w:pPr>
        <w:pStyle w:val="12"/>
        <w:ind w:firstLine="480"/>
        <w:jc w:val="both"/>
        <w:rPr>
          <w:highlight w:val="none"/>
        </w:rPr>
      </w:pPr>
      <w:r>
        <w:rPr>
          <w:rFonts w:ascii="仿宋_GB2312" w:hAnsi="仿宋_GB2312" w:eastAsia="仿宋_GB2312" w:cs="仿宋_GB2312"/>
          <w:sz w:val="24"/>
          <w:highlight w:val="none"/>
        </w:rPr>
        <w:t>注：1.上表中相应序号医用织物洗涤种类,以医院实物为准。</w:t>
      </w:r>
    </w:p>
    <w:p w14:paraId="5758590B">
      <w:pPr>
        <w:pStyle w:val="12"/>
        <w:ind w:firstLine="480"/>
        <w:jc w:val="both"/>
        <w:rPr>
          <w:highlight w:val="none"/>
        </w:rPr>
      </w:pPr>
      <w:r>
        <w:rPr>
          <w:rFonts w:ascii="仿宋_GB2312" w:hAnsi="仿宋_GB2312" w:eastAsia="仿宋_GB2312" w:cs="仿宋_GB2312"/>
          <w:sz w:val="24"/>
          <w:highlight w:val="none"/>
        </w:rPr>
        <w:t xml:space="preserve">      2.本数量为一年预估数量。</w:t>
      </w:r>
    </w:p>
    <w:p w14:paraId="02AD9273">
      <w:pPr>
        <w:pStyle w:val="12"/>
        <w:jc w:val="both"/>
        <w:outlineLvl w:val="2"/>
        <w:rPr>
          <w:highlight w:val="none"/>
        </w:rPr>
      </w:pPr>
      <w:r>
        <w:rPr>
          <w:rFonts w:ascii="仿宋_GB2312" w:hAnsi="仿宋_GB2312" w:eastAsia="仿宋_GB2312" w:cs="仿宋_GB2312"/>
          <w:b/>
          <w:sz w:val="28"/>
          <w:highlight w:val="none"/>
        </w:rPr>
        <w:t>二、技术和服务要求</w:t>
      </w:r>
    </w:p>
    <w:p w14:paraId="4AB01E6E">
      <w:pPr>
        <w:pStyle w:val="12"/>
        <w:jc w:val="left"/>
        <w:rPr>
          <w:highlight w:val="none"/>
        </w:rPr>
      </w:pPr>
      <w:r>
        <w:rPr>
          <w:rFonts w:ascii="仿宋_GB2312" w:hAnsi="仿宋_GB2312" w:eastAsia="仿宋_GB2312" w:cs="仿宋_GB2312"/>
          <w:sz w:val="24"/>
          <w:highlight w:val="none"/>
        </w:rPr>
        <w:t>（一）布类洗涤要求</w:t>
      </w:r>
    </w:p>
    <w:p w14:paraId="1BE295C8">
      <w:pPr>
        <w:pStyle w:val="12"/>
        <w:jc w:val="both"/>
        <w:rPr>
          <w:highlight w:val="none"/>
        </w:rPr>
      </w:pPr>
      <w:r>
        <w:rPr>
          <w:rFonts w:ascii="仿宋_GB2312" w:hAnsi="仿宋_GB2312" w:eastAsia="仿宋_GB2312" w:cs="仿宋_GB2312"/>
          <w:sz w:val="24"/>
          <w:highlight w:val="none"/>
        </w:rPr>
        <w:t>1、投标人应严格遵守国家相关管理办法，拥有专业的厂区，符合环境要求，有专业的洗涤生产线，严格使用标准流程进行洗涤，具有规范的布草布类洗涤制度，以及完善的质量控制制度。</w:t>
      </w:r>
    </w:p>
    <w:p w14:paraId="3064FB36">
      <w:pPr>
        <w:pStyle w:val="12"/>
        <w:jc w:val="both"/>
        <w:rPr>
          <w:highlight w:val="none"/>
        </w:rPr>
      </w:pPr>
      <w:r>
        <w:rPr>
          <w:rFonts w:ascii="仿宋_GB2312" w:hAnsi="仿宋_GB2312" w:eastAsia="仿宋_GB2312" w:cs="仿宋_GB2312"/>
          <w:sz w:val="24"/>
          <w:highlight w:val="none"/>
        </w:rPr>
        <w:t>2、投标人严格遵循洗涤流程，依照《医疗机构医用织物洗涤消毒技术标准》（WS/T 508—2025）运作，采购人有权对投标人所洗布类和洗涤场所进行抽查和检验，并有权要求投标人及时整改存在问题。洗涤公司洗涤不当，致使院方布草破损无法继续使用或人为原因造成丢失的，根据院方布草的进价及实际使用情况，予以购买原价赔偿。新布类洗涤第一年破损率不高于3%，第二年破损率不高于8%。第三年及以上破损率不高于50%，超过相应破损率每件扣款100元。</w:t>
      </w:r>
    </w:p>
    <w:p w14:paraId="72B0E729">
      <w:pPr>
        <w:pStyle w:val="12"/>
        <w:jc w:val="both"/>
        <w:rPr>
          <w:highlight w:val="none"/>
        </w:rPr>
      </w:pPr>
      <w:r>
        <w:rPr>
          <w:rFonts w:ascii="仿宋_GB2312" w:hAnsi="仿宋_GB2312" w:eastAsia="仿宋_GB2312" w:cs="仿宋_GB2312"/>
          <w:sz w:val="24"/>
          <w:highlight w:val="none"/>
        </w:rPr>
        <w:t>3、工作人员布类与患者使用布类必须分机或分批洗涤；手术室布类应单独洗涤，不得与其他布类混洗；特殊布类按照采购人要求做相应的消毒、清洗。</w:t>
      </w:r>
    </w:p>
    <w:p w14:paraId="445A1E86">
      <w:pPr>
        <w:pStyle w:val="12"/>
        <w:spacing w:line="240" w:lineRule="auto"/>
        <w:jc w:val="both"/>
        <w:rPr>
          <w:highlight w:val="none"/>
        </w:rPr>
      </w:pPr>
      <w:r>
        <w:rPr>
          <w:rFonts w:ascii="仿宋_GB2312" w:hAnsi="仿宋_GB2312" w:eastAsia="仿宋_GB2312" w:cs="仿宋_GB2312"/>
          <w:sz w:val="24"/>
          <w:highlight w:val="none"/>
        </w:rPr>
        <w:t>4、种类、质地不同的布类经过洗涤后，保证各部位洁净、平整、柔软；白色布草不泛黄、泛灰；彩色布草色彩自然、不串色，无明显缩水，褪色、跳纱、起毛等现象。投标人对采购人交付的所有布类的洗涤，原则上不得返洗。对达不到洗涤质量要求的布类，投标人应负责免费重洗（在四联单上注明重洗）并于次日送回，保证不影响采购人的正常使用。</w:t>
      </w:r>
    </w:p>
    <w:p w14:paraId="5BB6E0E8">
      <w:pPr>
        <w:pStyle w:val="12"/>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清洗后的工作服、病人服等衣物，其纽扣、饰物及各类附件应保持完整；若出现裤腰尺寸不合、橡皮筋老化、拉链损坏或裤脚过长等情况，中标方需负责进行相应的尺寸调整、更换及裁剪修改。所有衣物熨烫后须自然平整。</w:t>
      </w:r>
    </w:p>
    <w:p w14:paraId="5E96FE3B">
      <w:pPr>
        <w:pStyle w:val="12"/>
        <w:keepNext w:val="0"/>
        <w:keepLines w:val="0"/>
        <w:pageBreakBefore w:val="0"/>
        <w:widowControl/>
        <w:kinsoku/>
        <w:wordWrap/>
        <w:overflowPunct/>
        <w:topLinePunct w:val="0"/>
        <w:autoSpaceDE/>
        <w:autoSpaceDN/>
        <w:bidi w:val="0"/>
        <w:adjustRightInd/>
        <w:snapToGrid/>
        <w:spacing w:line="240" w:lineRule="auto"/>
        <w:jc w:val="both"/>
        <w:textAlignment w:val="auto"/>
        <w:rPr>
          <w:sz w:val="24"/>
          <w:szCs w:val="24"/>
          <w:highlight w:val="none"/>
        </w:rPr>
      </w:pPr>
      <w:r>
        <w:rPr>
          <w:rFonts w:hint="eastAsia" w:ascii="仿宋_GB2312" w:hAnsi="仿宋_GB2312" w:eastAsia="仿宋_GB2312" w:cs="仿宋_GB2312"/>
          <w:sz w:val="24"/>
          <w:szCs w:val="24"/>
          <w:highlight w:val="none"/>
        </w:rPr>
        <w:t>此外，所有布类织物须严格按照院方各科室的具体工作要求，按颜色及标识进行分类打包。其中，手术室包布、中单、手术衣等须区分“完好”与“带补丁”状态，分别进行折叠与打包。</w:t>
      </w:r>
    </w:p>
    <w:p w14:paraId="76E1BA02">
      <w:pPr>
        <w:pStyle w:val="12"/>
        <w:spacing w:line="240" w:lineRule="auto"/>
        <w:jc w:val="both"/>
        <w:rPr>
          <w:highlight w:val="none"/>
        </w:rPr>
      </w:pPr>
      <w:r>
        <w:rPr>
          <w:rFonts w:ascii="仿宋_GB2312" w:hAnsi="仿宋_GB2312" w:eastAsia="仿宋_GB2312" w:cs="仿宋_GB2312"/>
          <w:sz w:val="24"/>
          <w:highlight w:val="none"/>
        </w:rPr>
        <w:t>6、投标人应严格执行采购人各种布类洗涤过程的消毒、隔离制度，防止交叉感染，确保病人安全。传染病布类按防疫站及院内感染要求规定进行分类消毒及专项处理，采购人应将有传染性的布类，事先分类包装并做好识别标志，以便投标人专项处理。采购人有权对投标人洗涤程序及洗涤布类质量进行检测，若属于投标人洗涤过程不当或不按质量标准交货导致的交叉感染，投标人应赔偿采购人因此产生的全部经济损失并承担相应的法律责任。</w:t>
      </w:r>
    </w:p>
    <w:p w14:paraId="02A893A3">
      <w:pPr>
        <w:pStyle w:val="12"/>
        <w:spacing w:line="240" w:lineRule="auto"/>
        <w:jc w:val="both"/>
        <w:rPr>
          <w:highlight w:val="none"/>
        </w:rPr>
      </w:pPr>
      <w:r>
        <w:rPr>
          <w:rFonts w:ascii="仿宋_GB2312" w:hAnsi="仿宋_GB2312" w:eastAsia="仿宋_GB2312" w:cs="仿宋_GB2312"/>
          <w:sz w:val="24"/>
          <w:highlight w:val="none"/>
        </w:rPr>
        <w:t>7、投标人保证按质按量完成院方交付洗涤的衣物布类，手术室布类洗涤采用专锅浸泡、蒸煮、专机洗涤。应用无毒、低磷、无刺激性的消毒洗涤剂进行洗涤，并专类包装供应使用。</w:t>
      </w:r>
    </w:p>
    <w:p w14:paraId="7834B024">
      <w:pPr>
        <w:pStyle w:val="12"/>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highlight w:val="none"/>
        </w:rPr>
      </w:pPr>
      <w:r>
        <w:rPr>
          <w:rFonts w:ascii="仿宋_GB2312" w:hAnsi="仿宋_GB2312" w:eastAsia="仿宋_GB2312" w:cs="仿宋_GB2312"/>
          <w:sz w:val="24"/>
          <w:highlight w:val="none"/>
        </w:rPr>
        <w:t>8、缝补要求：如布类中出现破损、脱线、掉钮扣及各类绑带丢失的现象，均由投标人负责缝补后送回（纽扣需与原装纽扣保持一致或至少同个色系，布类需与原布类保持一致或至少同个色系。），做到每件布类送回后即能投入使用。科室如另有布类缝补需求，投标人应做到当天收取并缝补，次日送回。投标人在采购人设置的布类洗涤服务中心应设有缝补点，配置缝纫机（采购人可免费提供借用，如需维修由中标人自行负责），负责采购人所使用的所有布类，如工作服、病人患服、床单、被套、陪伴床布的应急缝补。采购人提供床帘窗帘布头材料</w:t>
      </w:r>
      <w:r>
        <w:rPr>
          <w:rFonts w:hint="eastAsia" w:ascii="仿宋_GB2312" w:hAnsi="仿宋_GB2312" w:eastAsia="仿宋_GB2312" w:cs="仿宋_GB2312"/>
          <w:sz w:val="24"/>
          <w:szCs w:val="24"/>
          <w:highlight w:val="none"/>
        </w:rPr>
        <w:t>及暗</w:t>
      </w:r>
    </w:p>
    <w:p w14:paraId="17941361">
      <w:pPr>
        <w:pStyle w:val="12"/>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扣绑带</w:t>
      </w:r>
      <w:r>
        <w:rPr>
          <w:rFonts w:ascii="仿宋_GB2312" w:hAnsi="仿宋_GB2312" w:eastAsia="仿宋_GB2312" w:cs="仿宋_GB2312"/>
          <w:sz w:val="24"/>
          <w:highlight w:val="none"/>
        </w:rPr>
        <w:t>，投标人负责免费缝补。</w:t>
      </w:r>
      <w:r>
        <w:rPr>
          <w:rFonts w:hint="eastAsia" w:ascii="仿宋_GB2312" w:hAnsi="仿宋_GB2312" w:eastAsia="仿宋_GB2312" w:cs="仿宋_GB2312"/>
          <w:sz w:val="24"/>
          <w:szCs w:val="24"/>
          <w:highlight w:val="none"/>
        </w:rPr>
        <w:t>中标人配置电熨斗1个，熨烫不平整工作服、病</w:t>
      </w:r>
    </w:p>
    <w:p w14:paraId="545CDAD9">
      <w:pPr>
        <w:pStyle w:val="12"/>
        <w:keepNext w:val="0"/>
        <w:keepLines w:val="0"/>
        <w:pageBreakBefore w:val="0"/>
        <w:widowControl/>
        <w:kinsoku/>
        <w:wordWrap/>
        <w:overflowPunct/>
        <w:topLinePunct w:val="0"/>
        <w:autoSpaceDE/>
        <w:autoSpaceDN/>
        <w:bidi w:val="0"/>
        <w:adjustRightInd/>
        <w:snapToGrid/>
        <w:spacing w:line="240" w:lineRule="auto"/>
        <w:jc w:val="both"/>
        <w:textAlignment w:val="auto"/>
        <w:rPr>
          <w:highlight w:val="none"/>
        </w:rPr>
      </w:pPr>
      <w:r>
        <w:rPr>
          <w:rFonts w:hint="eastAsia" w:ascii="仿宋_GB2312" w:hAnsi="仿宋_GB2312" w:eastAsia="仿宋_GB2312" w:cs="仿宋_GB2312"/>
          <w:sz w:val="24"/>
          <w:szCs w:val="24"/>
          <w:highlight w:val="none"/>
        </w:rPr>
        <w:t>人服等布类。</w:t>
      </w:r>
    </w:p>
    <w:p w14:paraId="2CC3DDB7">
      <w:pPr>
        <w:pStyle w:val="12"/>
        <w:spacing w:line="240" w:lineRule="auto"/>
        <w:jc w:val="both"/>
        <w:rPr>
          <w:highlight w:val="none"/>
        </w:rPr>
      </w:pPr>
      <w:r>
        <w:rPr>
          <w:rFonts w:ascii="仿宋_GB2312" w:hAnsi="仿宋_GB2312" w:eastAsia="仿宋_GB2312" w:cs="仿宋_GB2312"/>
          <w:sz w:val="24"/>
          <w:highlight w:val="none"/>
        </w:rPr>
        <w:t>9、投标人在收取布类时应对所有布类进行检查，取下所有会对布类造成污染、破损的异物。洗后自然破损的应及时缝补，无法缝补的破损或缝补后严重影响美观的布类应单独装袋送回并告知采购人科室。</w:t>
      </w:r>
    </w:p>
    <w:p w14:paraId="3F7396CB">
      <w:pPr>
        <w:pStyle w:val="12"/>
        <w:spacing w:line="240" w:lineRule="auto"/>
        <w:jc w:val="both"/>
        <w:rPr>
          <w:highlight w:val="none"/>
        </w:rPr>
      </w:pPr>
      <w:r>
        <w:rPr>
          <w:rFonts w:ascii="仿宋_GB2312" w:hAnsi="仿宋_GB2312" w:eastAsia="仿宋_GB2312" w:cs="仿宋_GB2312"/>
          <w:sz w:val="24"/>
          <w:highlight w:val="none"/>
        </w:rPr>
        <w:t>10、布类运输工具（包括院内至各病区收集的车辆（采购人可提供免费借用，如需维修由中标人自行负责）和洗涤公司至医院的运输车辆）均由投标人自行提供。投标人须为本项目投入不少于2辆的专用布草运输车辆，车辆须按照《医疗机构医用织物洗涤消毒技术标准》（WS/T 508—2025）进行洁污分开。</w:t>
      </w:r>
    </w:p>
    <w:p w14:paraId="37D2E6E3">
      <w:pPr>
        <w:pStyle w:val="12"/>
        <w:jc w:val="both"/>
        <w:rPr>
          <w:highlight w:val="none"/>
        </w:rPr>
      </w:pPr>
      <w:r>
        <w:rPr>
          <w:rFonts w:ascii="仿宋_GB2312" w:hAnsi="仿宋_GB2312" w:eastAsia="仿宋_GB2312" w:cs="仿宋_GB2312"/>
          <w:sz w:val="24"/>
          <w:highlight w:val="none"/>
        </w:rPr>
        <w:t>11、中标方应提供清洁织物存放柜架，存放柜架宜距地面高度≥20CM，离墙≥5CM，距天花板≥50CM。</w:t>
      </w:r>
    </w:p>
    <w:p w14:paraId="60E9D241">
      <w:pPr>
        <w:pStyle w:val="12"/>
        <w:jc w:val="both"/>
        <w:rPr>
          <w:highlight w:val="none"/>
        </w:rPr>
      </w:pPr>
      <w:r>
        <w:rPr>
          <w:rFonts w:ascii="仿宋_GB2312" w:hAnsi="仿宋_GB2312" w:eastAsia="仿宋_GB2312" w:cs="仿宋_GB2312"/>
          <w:sz w:val="24"/>
          <w:highlight w:val="none"/>
        </w:rPr>
        <w:t>12、中标方需提供所有污物袋并符合我院不同科室需求大小，每天预计400-500个，具体数量按实际需求提供。</w:t>
      </w:r>
    </w:p>
    <w:p w14:paraId="2F0E2C40">
      <w:pPr>
        <w:pStyle w:val="12"/>
        <w:jc w:val="both"/>
        <w:rPr>
          <w:highlight w:val="none"/>
        </w:rPr>
      </w:pPr>
      <w:r>
        <w:rPr>
          <w:rFonts w:ascii="仿宋_GB2312" w:hAnsi="仿宋_GB2312" w:eastAsia="仿宋_GB2312" w:cs="仿宋_GB2312"/>
          <w:sz w:val="24"/>
          <w:highlight w:val="none"/>
        </w:rPr>
        <w:t>13、中标人现阶段须派驻专职人员不低于9人（工资待遇由投标人承担），其中</w:t>
      </w:r>
      <w:r>
        <w:rPr>
          <w:rFonts w:hint="eastAsia" w:ascii="仿宋_GB2312" w:hAnsi="仿宋_GB2312" w:eastAsia="仿宋_GB2312" w:cs="仿宋_GB2312"/>
          <w:sz w:val="24"/>
          <w:szCs w:val="24"/>
          <w:highlight w:val="none"/>
        </w:rPr>
        <w:t>驻点</w:t>
      </w:r>
      <w:r>
        <w:rPr>
          <w:rFonts w:ascii="仿宋_GB2312" w:hAnsi="仿宋_GB2312" w:eastAsia="仿宋_GB2312" w:cs="仿宋_GB2312"/>
          <w:sz w:val="24"/>
          <w:highlight w:val="none"/>
        </w:rPr>
        <w:t>项目经理1人，工人8人（后期防治大楼启用后需保证布类运送工作满足医院各科室使用需求），负责在每天上午到各病区、科室交接衣物布类，其周转时间为</w:t>
      </w:r>
      <w:r>
        <w:rPr>
          <w:rFonts w:hint="eastAsia" w:ascii="仿宋_GB2312" w:hAnsi="仿宋_GB2312" w:eastAsia="仿宋_GB2312" w:cs="仿宋_GB2312"/>
          <w:sz w:val="24"/>
          <w:szCs w:val="24"/>
          <w:highlight w:val="none"/>
          <w:lang w:val="en-US" w:eastAsia="zh-CN"/>
        </w:rPr>
        <w:t>48小时</w:t>
      </w:r>
      <w:r>
        <w:rPr>
          <w:rFonts w:ascii="仿宋_GB2312" w:hAnsi="仿宋_GB2312" w:eastAsia="仿宋_GB2312" w:cs="仿宋_GB2312"/>
          <w:sz w:val="24"/>
          <w:highlight w:val="none"/>
        </w:rPr>
        <w:t>，即第一天傍晚收取，第三天早晨回送。</w:t>
      </w:r>
      <w:r>
        <w:rPr>
          <w:rFonts w:hint="eastAsia" w:ascii="仿宋_GB2312" w:hAnsi="仿宋_GB2312" w:eastAsia="仿宋_GB2312" w:cs="仿宋_GB2312"/>
          <w:sz w:val="24"/>
          <w:szCs w:val="24"/>
          <w:highlight w:val="none"/>
        </w:rPr>
        <w:t>上午送到使用科室。</w:t>
      </w:r>
      <w:r>
        <w:rPr>
          <w:rFonts w:ascii="仿宋_GB2312" w:hAnsi="仿宋_GB2312" w:eastAsia="仿宋_GB2312" w:cs="仿宋_GB2312"/>
          <w:sz w:val="24"/>
          <w:highlight w:val="none"/>
        </w:rPr>
        <w:t>指定代表清点交接，填写衣物清洗单以备校查。必须提供每月电子版与每日纸质版的清洗清单。</w:t>
      </w:r>
    </w:p>
    <w:p w14:paraId="75C00AAB">
      <w:pPr>
        <w:pStyle w:val="12"/>
        <w:jc w:val="both"/>
        <w:rPr>
          <w:highlight w:val="none"/>
        </w:rPr>
      </w:pPr>
      <w:r>
        <w:rPr>
          <w:rFonts w:ascii="仿宋_GB2312" w:hAnsi="仿宋_GB2312" w:eastAsia="仿宋_GB2312" w:cs="仿宋_GB2312"/>
          <w:sz w:val="24"/>
          <w:highlight w:val="none"/>
        </w:rPr>
        <w:t>14、项目经理负责对接采购人所有的洗涤相关事宜，如遇科室投诉，需在1小时内响应并了解相关情况，及时予以处理。如无法现场处理的，应及时上报采购人，并与采购人指定的业务监管部门共同进行责任认定，在24小时之内提出切实可行的解决方案，不得推诿。经双方确认的解决方案在超出规定时限三天后仍未执行到位的，视为不配合采购人工作，中标人应支付违约金1500元/次。</w:t>
      </w:r>
    </w:p>
    <w:p w14:paraId="387342CF">
      <w:pPr>
        <w:pStyle w:val="12"/>
        <w:jc w:val="both"/>
        <w:rPr>
          <w:highlight w:val="none"/>
        </w:rPr>
      </w:pPr>
      <w:r>
        <w:rPr>
          <w:rFonts w:ascii="仿宋_GB2312" w:hAnsi="仿宋_GB2312" w:eastAsia="仿宋_GB2312" w:cs="仿宋_GB2312"/>
          <w:sz w:val="24"/>
          <w:highlight w:val="none"/>
        </w:rPr>
        <w:t>15、配送人员每周日休息一天，国庆春节等长假在满足工作需求的条件下适当休息。投标人应保质、保量、按时完成采购人交付的布类洗涤工作。根据采购人的要求，提出的意见与建议应及时整改到位。</w:t>
      </w:r>
    </w:p>
    <w:p w14:paraId="4C1DCF58">
      <w:pPr>
        <w:pStyle w:val="12"/>
        <w:jc w:val="both"/>
        <w:rPr>
          <w:highlight w:val="none"/>
        </w:rPr>
      </w:pPr>
      <w:r>
        <w:rPr>
          <w:rFonts w:ascii="仿宋_GB2312" w:hAnsi="仿宋_GB2312" w:eastAsia="仿宋_GB2312" w:cs="仿宋_GB2312"/>
          <w:sz w:val="24"/>
          <w:highlight w:val="none"/>
        </w:rPr>
        <w:t>16、因停水、停电、停气等外部条件因素的影响造成投标人无法完成洗涤任务的，投标人应及时上报采购人，并负责联系具备相关资质的外单位进行洗涤，由此产生的一切费用由投标人自行承担，并在确保洗涤质量的前提下，将布类保质、保量、按时送回。非不可抗拒因素造成不能按规定回送采购人清洁布类，投标人应赔偿采购人因此产生的全部损失。</w:t>
      </w:r>
    </w:p>
    <w:p w14:paraId="165FDBFC">
      <w:pPr>
        <w:pStyle w:val="12"/>
        <w:jc w:val="both"/>
        <w:rPr>
          <w:highlight w:val="none"/>
        </w:rPr>
      </w:pPr>
      <w:r>
        <w:rPr>
          <w:rFonts w:ascii="仿宋_GB2312" w:hAnsi="仿宋_GB2312" w:eastAsia="仿宋_GB2312" w:cs="仿宋_GB2312"/>
          <w:sz w:val="24"/>
          <w:highlight w:val="none"/>
        </w:rPr>
        <w:t>17、因工作或上级部门检查要求采购人有特急件、特殊件或对个别布类洗涤有特殊要求的，投标人应无条件满足。</w:t>
      </w:r>
    </w:p>
    <w:p w14:paraId="0CDC2C2F">
      <w:pPr>
        <w:pStyle w:val="12"/>
        <w:jc w:val="both"/>
        <w:rPr>
          <w:highlight w:val="none"/>
        </w:rPr>
      </w:pPr>
      <w:r>
        <w:rPr>
          <w:rFonts w:ascii="仿宋_GB2312" w:hAnsi="仿宋_GB2312" w:eastAsia="仿宋_GB2312" w:cs="仿宋_GB2312"/>
          <w:sz w:val="24"/>
          <w:highlight w:val="none"/>
        </w:rPr>
        <w:t>（二）洗涤质量标准</w:t>
      </w:r>
    </w:p>
    <w:p w14:paraId="606ECA37">
      <w:pPr>
        <w:pStyle w:val="12"/>
        <w:jc w:val="both"/>
        <w:rPr>
          <w:highlight w:val="none"/>
        </w:rPr>
      </w:pPr>
      <w:r>
        <w:rPr>
          <w:rFonts w:ascii="仿宋_GB2312" w:hAnsi="仿宋_GB2312" w:eastAsia="仿宋_GB2312" w:cs="仿宋_GB2312"/>
          <w:sz w:val="24"/>
          <w:highlight w:val="none"/>
        </w:rPr>
        <w:t>1、严格按照洗涤工艺流程作业</w:t>
      </w:r>
    </w:p>
    <w:p w14:paraId="60B94FB0">
      <w:pPr>
        <w:pStyle w:val="12"/>
        <w:jc w:val="both"/>
        <w:rPr>
          <w:highlight w:val="none"/>
        </w:rPr>
      </w:pPr>
      <w:r>
        <w:rPr>
          <w:rFonts w:ascii="仿宋_GB2312" w:hAnsi="仿宋_GB2312" w:eastAsia="仿宋_GB2312" w:cs="仿宋_GB2312"/>
          <w:sz w:val="24"/>
          <w:highlight w:val="none"/>
        </w:rPr>
        <w:t>（1）收集（封闭式专车）；</w:t>
      </w:r>
    </w:p>
    <w:p w14:paraId="792FD1EC">
      <w:pPr>
        <w:pStyle w:val="12"/>
        <w:jc w:val="both"/>
        <w:rPr>
          <w:highlight w:val="none"/>
        </w:rPr>
      </w:pPr>
      <w:r>
        <w:rPr>
          <w:rFonts w:ascii="仿宋_GB2312" w:hAnsi="仿宋_GB2312" w:eastAsia="仿宋_GB2312" w:cs="仿宋_GB2312"/>
          <w:sz w:val="24"/>
          <w:highlight w:val="none"/>
        </w:rPr>
        <w:t>（2）分检（严格按规定分拣、分类洗涤）；</w:t>
      </w:r>
    </w:p>
    <w:p w14:paraId="5642338F">
      <w:pPr>
        <w:pStyle w:val="12"/>
        <w:jc w:val="both"/>
        <w:rPr>
          <w:highlight w:val="none"/>
        </w:rPr>
      </w:pPr>
      <w:r>
        <w:rPr>
          <w:rFonts w:ascii="仿宋_GB2312" w:hAnsi="仿宋_GB2312" w:eastAsia="仿宋_GB2312" w:cs="仿宋_GB2312"/>
          <w:sz w:val="24"/>
          <w:highlight w:val="none"/>
        </w:rPr>
        <w:t>①按工作服、手术室、供应室、病区分类堆包，分区进行分拣，黄色特殊感染包应送至隔离间，由专人进行隔离分拣；</w:t>
      </w:r>
    </w:p>
    <w:p w14:paraId="045C0078">
      <w:pPr>
        <w:pStyle w:val="12"/>
        <w:jc w:val="both"/>
        <w:rPr>
          <w:highlight w:val="none"/>
        </w:rPr>
      </w:pPr>
      <w:r>
        <w:rPr>
          <w:rFonts w:ascii="仿宋_GB2312" w:hAnsi="仿宋_GB2312" w:eastAsia="仿宋_GB2312" w:cs="仿宋_GB2312"/>
          <w:sz w:val="24"/>
          <w:highlight w:val="none"/>
        </w:rPr>
        <w:t>②分拣过程中，将同色床单、被套、枕套、孔巾、包布、病人衣裤、洗手衣裤、手术衣分类装载，按各自污染程度选择相对应程序洗涤；</w:t>
      </w:r>
    </w:p>
    <w:p w14:paraId="5F94A5DA">
      <w:pPr>
        <w:pStyle w:val="12"/>
        <w:jc w:val="both"/>
        <w:rPr>
          <w:highlight w:val="none"/>
        </w:rPr>
      </w:pPr>
      <w:r>
        <w:rPr>
          <w:rFonts w:ascii="仿宋_GB2312" w:hAnsi="仿宋_GB2312" w:eastAsia="仿宋_GB2312" w:cs="仿宋_GB2312"/>
          <w:sz w:val="24"/>
          <w:highlight w:val="none"/>
        </w:rPr>
        <w:t>③分拣过程中发现重污（大块血渍、粪渍），单独装载，单独洗涤。如遇破损严重或污损严重已无缝补或洗涤价值的，拍照留档，与采购人及时沟通报损处理；</w:t>
      </w:r>
    </w:p>
    <w:p w14:paraId="021043EB">
      <w:pPr>
        <w:pStyle w:val="12"/>
        <w:jc w:val="both"/>
        <w:rPr>
          <w:highlight w:val="none"/>
        </w:rPr>
      </w:pPr>
      <w:r>
        <w:rPr>
          <w:rFonts w:ascii="仿宋_GB2312" w:hAnsi="仿宋_GB2312" w:eastAsia="仿宋_GB2312" w:cs="仿宋_GB2312"/>
          <w:sz w:val="24"/>
          <w:highlight w:val="none"/>
        </w:rPr>
        <w:t>④工作服在另外区域进行人工分拣，与其他布类严格区分分拣，分拣后专机作业洗涤。</w:t>
      </w:r>
    </w:p>
    <w:p w14:paraId="50839475">
      <w:pPr>
        <w:pStyle w:val="12"/>
        <w:jc w:val="both"/>
        <w:rPr>
          <w:highlight w:val="none"/>
        </w:rPr>
      </w:pPr>
      <w:r>
        <w:rPr>
          <w:rFonts w:ascii="仿宋_GB2312" w:hAnsi="仿宋_GB2312" w:eastAsia="仿宋_GB2312" w:cs="仿宋_GB2312"/>
          <w:sz w:val="24"/>
          <w:highlight w:val="none"/>
        </w:rPr>
        <w:t>（3）蒸煮（为防止交叉感染，采用按分类分池消毒洗涤，即工作服专用洗衣机，普通病号布类专用洗衣机，手术室专用洗衣机，特殊传染布类专用洗衣机）；</w:t>
      </w:r>
    </w:p>
    <w:p w14:paraId="0436AD99">
      <w:pPr>
        <w:pStyle w:val="12"/>
        <w:jc w:val="both"/>
        <w:rPr>
          <w:highlight w:val="none"/>
        </w:rPr>
      </w:pPr>
      <w:r>
        <w:rPr>
          <w:rFonts w:ascii="仿宋_GB2312" w:hAnsi="仿宋_GB2312" w:eastAsia="仿宋_GB2312" w:cs="仿宋_GB2312"/>
          <w:sz w:val="24"/>
          <w:highlight w:val="none"/>
        </w:rPr>
        <w:t>（4）洗涤（严格按照洗涤规范流程）；</w:t>
      </w:r>
    </w:p>
    <w:p w14:paraId="48B1F912">
      <w:pPr>
        <w:pStyle w:val="12"/>
        <w:jc w:val="both"/>
        <w:rPr>
          <w:highlight w:val="none"/>
        </w:rPr>
      </w:pPr>
      <w:r>
        <w:rPr>
          <w:rFonts w:ascii="仿宋_GB2312" w:hAnsi="仿宋_GB2312" w:eastAsia="仿宋_GB2312" w:cs="仿宋_GB2312"/>
          <w:sz w:val="24"/>
          <w:highlight w:val="none"/>
        </w:rPr>
        <w:t>（5）自动脱水（由脱水机处理）；</w:t>
      </w:r>
    </w:p>
    <w:p w14:paraId="7481EFAB">
      <w:pPr>
        <w:pStyle w:val="12"/>
        <w:jc w:val="both"/>
        <w:rPr>
          <w:highlight w:val="none"/>
        </w:rPr>
      </w:pPr>
      <w:r>
        <w:rPr>
          <w:rFonts w:ascii="仿宋_GB2312" w:hAnsi="仿宋_GB2312" w:eastAsia="仿宋_GB2312" w:cs="仿宋_GB2312"/>
          <w:sz w:val="24"/>
          <w:highlight w:val="none"/>
        </w:rPr>
        <w:t>（6）烘干（由烘干机处理）；</w:t>
      </w:r>
    </w:p>
    <w:p w14:paraId="4A781CDE">
      <w:pPr>
        <w:pStyle w:val="12"/>
        <w:jc w:val="both"/>
        <w:rPr>
          <w:highlight w:val="none"/>
        </w:rPr>
      </w:pPr>
      <w:r>
        <w:rPr>
          <w:rFonts w:ascii="仿宋_GB2312" w:hAnsi="仿宋_GB2312" w:eastAsia="仿宋_GB2312" w:cs="仿宋_GB2312"/>
          <w:sz w:val="24"/>
          <w:highlight w:val="none"/>
        </w:rPr>
        <w:t>（7）熨平（由机器熨平和手工熨平、折叠）；</w:t>
      </w:r>
    </w:p>
    <w:p w14:paraId="2DD67B9F">
      <w:pPr>
        <w:pStyle w:val="12"/>
        <w:jc w:val="both"/>
        <w:rPr>
          <w:highlight w:val="none"/>
        </w:rPr>
      </w:pPr>
      <w:r>
        <w:rPr>
          <w:rFonts w:ascii="仿宋_GB2312" w:hAnsi="仿宋_GB2312" w:eastAsia="仿宋_GB2312" w:cs="仿宋_GB2312"/>
          <w:sz w:val="24"/>
          <w:highlight w:val="none"/>
        </w:rPr>
        <w:t>（8）缝补（对破损的衣服及布草进行缝补，包括系带子、扣子等）；</w:t>
      </w:r>
    </w:p>
    <w:p w14:paraId="6CBDA350">
      <w:pPr>
        <w:pStyle w:val="12"/>
        <w:jc w:val="both"/>
        <w:rPr>
          <w:highlight w:val="none"/>
        </w:rPr>
      </w:pPr>
      <w:r>
        <w:rPr>
          <w:rFonts w:ascii="仿宋_GB2312" w:hAnsi="仿宋_GB2312" w:eastAsia="仿宋_GB2312" w:cs="仿宋_GB2312"/>
          <w:sz w:val="24"/>
          <w:highlight w:val="none"/>
        </w:rPr>
        <w:t>（9）包装（专用袋，封闭包装）；</w:t>
      </w:r>
    </w:p>
    <w:p w14:paraId="595FE568">
      <w:pPr>
        <w:pStyle w:val="12"/>
        <w:jc w:val="both"/>
        <w:rPr>
          <w:highlight w:val="none"/>
        </w:rPr>
      </w:pPr>
      <w:r>
        <w:rPr>
          <w:rFonts w:ascii="仿宋_GB2312" w:hAnsi="仿宋_GB2312" w:eastAsia="仿宋_GB2312" w:cs="仿宋_GB2312"/>
          <w:sz w:val="24"/>
          <w:highlight w:val="none"/>
        </w:rPr>
        <w:t>（10）运回（专车，封闭）。</w:t>
      </w:r>
    </w:p>
    <w:p w14:paraId="4AB4E297">
      <w:pPr>
        <w:pStyle w:val="12"/>
        <w:jc w:val="both"/>
        <w:rPr>
          <w:highlight w:val="none"/>
        </w:rPr>
      </w:pPr>
      <w:r>
        <w:rPr>
          <w:rFonts w:ascii="仿宋_GB2312" w:hAnsi="仿宋_GB2312" w:eastAsia="仿宋_GB2312" w:cs="仿宋_GB2312"/>
          <w:sz w:val="24"/>
          <w:highlight w:val="none"/>
        </w:rPr>
        <w:t>2、洗涤材料主要有：含氯消毒剂、洗衣粉、彩漂粉、乳化剂等；洗涤、消毒方式：化学消毒、物理消毒。</w:t>
      </w:r>
    </w:p>
    <w:p w14:paraId="50703893">
      <w:pPr>
        <w:pStyle w:val="12"/>
        <w:jc w:val="both"/>
        <w:rPr>
          <w:highlight w:val="none"/>
        </w:rPr>
      </w:pPr>
      <w:r>
        <w:rPr>
          <w:rFonts w:ascii="仿宋_GB2312" w:hAnsi="仿宋_GB2312" w:eastAsia="仿宋_GB2312" w:cs="仿宋_GB2312"/>
          <w:sz w:val="24"/>
          <w:highlight w:val="none"/>
        </w:rPr>
        <w:t>3、消毒洗涤后的布类达到洁净、平整、无损、无菌、无异味、无异物、干燥，符合院感的要求，须能马上投入使用。</w:t>
      </w:r>
    </w:p>
    <w:p w14:paraId="5FBA3BB0">
      <w:pPr>
        <w:pStyle w:val="12"/>
        <w:jc w:val="both"/>
        <w:rPr>
          <w:highlight w:val="none"/>
        </w:rPr>
      </w:pPr>
      <w:r>
        <w:rPr>
          <w:rFonts w:ascii="仿宋_GB2312" w:hAnsi="仿宋_GB2312" w:eastAsia="仿宋_GB2312" w:cs="仿宋_GB2312"/>
          <w:sz w:val="24"/>
          <w:highlight w:val="none"/>
        </w:rPr>
        <w:t>4、投标人有义务随时接受采购人和卫生行政部门的检查、监督、指导。如有违规、违约情况，采购人有权提出整改或要求投标人支付违约金，甚至单方面解除合同。</w:t>
      </w:r>
    </w:p>
    <w:p w14:paraId="4A12875F">
      <w:pPr>
        <w:pStyle w:val="12"/>
        <w:jc w:val="both"/>
        <w:rPr>
          <w:highlight w:val="none"/>
        </w:rPr>
      </w:pPr>
      <w:r>
        <w:rPr>
          <w:rFonts w:ascii="仿宋_GB2312" w:hAnsi="仿宋_GB2312" w:eastAsia="仿宋_GB2312" w:cs="仿宋_GB2312"/>
          <w:sz w:val="24"/>
          <w:highlight w:val="none"/>
        </w:rPr>
        <w:t>（三）洗涤公司工作区域要求</w:t>
      </w:r>
    </w:p>
    <w:p w14:paraId="0ABC3400">
      <w:pPr>
        <w:pStyle w:val="12"/>
        <w:jc w:val="both"/>
        <w:rPr>
          <w:highlight w:val="none"/>
        </w:rPr>
      </w:pPr>
      <w:r>
        <w:rPr>
          <w:rFonts w:ascii="仿宋_GB2312" w:hAnsi="仿宋_GB2312" w:eastAsia="仿宋_GB2312" w:cs="仿宋_GB2312"/>
          <w:sz w:val="24"/>
          <w:highlight w:val="none"/>
        </w:rPr>
        <w:t>1、投标人应设置独立的工作区域，工作区域内应通风、采光良好，周围环境应无蚊蝇等害虫孳生地。工作区域内所有功能区的地面、墙面和工作台面应平整，便于清洁，有防蝇、防鼠等有害生物防制设施。</w:t>
      </w:r>
    </w:p>
    <w:p w14:paraId="073DBC56">
      <w:pPr>
        <w:pStyle w:val="12"/>
        <w:jc w:val="both"/>
        <w:rPr>
          <w:highlight w:val="none"/>
        </w:rPr>
      </w:pPr>
      <w:r>
        <w:rPr>
          <w:rFonts w:ascii="仿宋_GB2312" w:hAnsi="仿宋_GB2312" w:eastAsia="仿宋_GB2312" w:cs="仿宋_GB2312"/>
          <w:sz w:val="24"/>
          <w:highlight w:val="none"/>
        </w:rPr>
        <w:t>2、投标人在工作区域内应分别设置污染区与清洁区，两区之间应有完全隔离屏障。分别设置医用织物接收与发放通道，通道不交叉、不逆行。污染区内的功能区应包括收物交接、分检、洗涤、消毒和污车存放处，清洁区的功能区应包括烘干、熨烫、修补、折叠、储存、运送、发放和洁车存放处，清洁区内各功能区应设有效隔离屏障。各功能区应布局合理，标识明确，有洗手设施，污染区内采用非手触式水龙头开关。</w:t>
      </w:r>
    </w:p>
    <w:p w14:paraId="70B0A935">
      <w:pPr>
        <w:pStyle w:val="12"/>
        <w:jc w:val="both"/>
        <w:rPr>
          <w:highlight w:val="none"/>
        </w:rPr>
      </w:pPr>
      <w:r>
        <w:rPr>
          <w:rFonts w:ascii="仿宋_GB2312" w:hAnsi="仿宋_GB2312" w:eastAsia="仿宋_GB2312" w:cs="仿宋_GB2312"/>
          <w:sz w:val="24"/>
          <w:highlight w:val="none"/>
        </w:rPr>
        <w:t>3、投标人应每日下班前对工作区域内的污染区地面及工作台面进行有效地清洁、消毒，消毒方法参照WS/T367执行；清洁区的地面、墙面、台面应随时保洁。</w:t>
      </w:r>
    </w:p>
    <w:p w14:paraId="40DEE74E">
      <w:pPr>
        <w:pStyle w:val="12"/>
        <w:jc w:val="both"/>
        <w:rPr>
          <w:highlight w:val="none"/>
        </w:rPr>
      </w:pPr>
      <w:r>
        <w:rPr>
          <w:rFonts w:ascii="仿宋_GB2312" w:hAnsi="仿宋_GB2312" w:eastAsia="仿宋_GB2312" w:cs="仿宋_GB2312"/>
          <w:sz w:val="24"/>
          <w:highlight w:val="none"/>
        </w:rPr>
        <w:t>4、工作区域内清洁区工作人员、物体表面、空气质量，以及经消毒处理后污染区工作人员手、物体表面、空气质量，应符合国家相关规定。</w:t>
      </w:r>
    </w:p>
    <w:p w14:paraId="39705136">
      <w:pPr>
        <w:pStyle w:val="12"/>
        <w:jc w:val="both"/>
        <w:rPr>
          <w:highlight w:val="none"/>
        </w:rPr>
      </w:pPr>
      <w:r>
        <w:rPr>
          <w:rFonts w:ascii="仿宋_GB2312" w:hAnsi="仿宋_GB2312" w:eastAsia="仿宋_GB2312" w:cs="仿宋_GB2312"/>
          <w:sz w:val="24"/>
          <w:highlight w:val="none"/>
        </w:rPr>
        <w:t>5、所有工作环境洗涤流程应符合国家相关标准。每季度提供合格检测报告。</w:t>
      </w:r>
    </w:p>
    <w:p w14:paraId="686D0BE2">
      <w:pPr>
        <w:pStyle w:val="12"/>
        <w:jc w:val="both"/>
        <w:rPr>
          <w:highlight w:val="none"/>
        </w:rPr>
      </w:pPr>
      <w:r>
        <w:rPr>
          <w:rFonts w:ascii="仿宋_GB2312" w:hAnsi="仿宋_GB2312" w:eastAsia="仿宋_GB2312" w:cs="仿宋_GB2312"/>
          <w:sz w:val="24"/>
          <w:highlight w:val="none"/>
        </w:rPr>
        <w:t>（四）布类收发细则及注意事项</w:t>
      </w:r>
    </w:p>
    <w:p w14:paraId="495FF4DB">
      <w:pPr>
        <w:pStyle w:val="12"/>
        <w:jc w:val="both"/>
        <w:rPr>
          <w:highlight w:val="none"/>
        </w:rPr>
      </w:pPr>
      <w:r>
        <w:rPr>
          <w:rFonts w:ascii="仿宋_GB2312" w:hAnsi="仿宋_GB2312" w:eastAsia="仿宋_GB2312" w:cs="仿宋_GB2312"/>
          <w:sz w:val="24"/>
          <w:highlight w:val="none"/>
        </w:rPr>
        <w:t>1、采购人负责在院内指定污、洁布类的暂存点。投标人负责每天派专职人员（身穿工作服、戴工作帽并佩戴胸卡）在采购人指 定时间到各病区、科室收取污布类，并与各科室指 定人员共同清点核对数目，并填写布类清洗交接单（四联单），经双方签字以备校查。投标人工作人员收取污布类后运至污物暂存点，投标人用专用车辆于每日早上将污布类运走，次日送干净布类至科室，投标人须保持使用场地的卫生清洁等。</w:t>
      </w:r>
    </w:p>
    <w:p w14:paraId="102C5171">
      <w:pPr>
        <w:pStyle w:val="12"/>
        <w:jc w:val="both"/>
        <w:rPr>
          <w:highlight w:val="none"/>
        </w:rPr>
      </w:pPr>
      <w:r>
        <w:rPr>
          <w:rFonts w:ascii="仿宋_GB2312" w:hAnsi="仿宋_GB2312" w:eastAsia="仿宋_GB2312" w:cs="仿宋_GB2312"/>
          <w:sz w:val="24"/>
          <w:highlight w:val="none"/>
        </w:rPr>
        <w:t>2、投标人对污、洁布类进行严格区分，标志须清楚，不得混装。工作服、病人、手术室、供应室的布类应分别单独装袋。为避免医护人员衣物与病患衣物交叉感染，投标人应对其进行分开清洗、消毒。</w:t>
      </w:r>
    </w:p>
    <w:p w14:paraId="67EF5C79">
      <w:pPr>
        <w:pStyle w:val="12"/>
        <w:jc w:val="both"/>
        <w:rPr>
          <w:highlight w:val="none"/>
        </w:rPr>
      </w:pPr>
      <w:r>
        <w:rPr>
          <w:rFonts w:ascii="仿宋_GB2312" w:hAnsi="仿宋_GB2312" w:eastAsia="仿宋_GB2312" w:cs="仿宋_GB2312"/>
          <w:sz w:val="24"/>
          <w:highlight w:val="none"/>
        </w:rPr>
        <w:t>3、为防止交叉感染，投标人运送布类的车辆必须收污、送洁分开运送，不得混用。在运送工作结束后，对车辆进行严格消毒，并对消毒进行记录，采购人有权对记录进行检查。</w:t>
      </w:r>
    </w:p>
    <w:p w14:paraId="08B691DA">
      <w:pPr>
        <w:pStyle w:val="12"/>
        <w:jc w:val="both"/>
        <w:rPr>
          <w:highlight w:val="none"/>
        </w:rPr>
      </w:pPr>
      <w:r>
        <w:rPr>
          <w:rFonts w:ascii="仿宋_GB2312" w:hAnsi="仿宋_GB2312" w:eastAsia="仿宋_GB2312" w:cs="仿宋_GB2312"/>
          <w:sz w:val="24"/>
          <w:highlight w:val="none"/>
        </w:rPr>
        <w:t>4、投标人使用专用推车</w:t>
      </w:r>
      <w:r>
        <w:rPr>
          <w:rFonts w:hint="eastAsia" w:ascii="仿宋_GB2312" w:hAnsi="仿宋_GB2312" w:eastAsia="仿宋_GB2312" w:cs="仿宋_GB2312"/>
          <w:sz w:val="24"/>
          <w:szCs w:val="24"/>
          <w:highlight w:val="none"/>
        </w:rPr>
        <w:t>分洁净车辆、污衣车辆运送。</w:t>
      </w:r>
      <w:r>
        <w:rPr>
          <w:rFonts w:ascii="仿宋_GB2312" w:hAnsi="仿宋_GB2312" w:eastAsia="仿宋_GB2312" w:cs="仿宋_GB2312"/>
          <w:sz w:val="24"/>
          <w:highlight w:val="none"/>
        </w:rPr>
        <w:t>于每天上午到各病区科室交接污布类并运走，经投标人洗涤、熨烫、缝补、折叠及分类打包后的洁净布类在第二天早上送达采购人指定的各个部门，并派工作人员与采购人工作人员进行数量交接及质量验收。</w:t>
      </w:r>
    </w:p>
    <w:p w14:paraId="653E2E82">
      <w:pPr>
        <w:pStyle w:val="12"/>
        <w:jc w:val="both"/>
        <w:rPr>
          <w:highlight w:val="none"/>
        </w:rPr>
      </w:pPr>
      <w:r>
        <w:rPr>
          <w:rFonts w:ascii="仿宋_GB2312" w:hAnsi="仿宋_GB2312" w:eastAsia="仿宋_GB2312" w:cs="仿宋_GB2312"/>
          <w:sz w:val="24"/>
          <w:highlight w:val="none"/>
        </w:rPr>
        <w:t>5、手术室、ICU、供应室等重点科室布类须每日收送两次（若科室有需求须根据洗涤情况增加收送次数）。</w:t>
      </w:r>
    </w:p>
    <w:p w14:paraId="6179DD39">
      <w:pPr>
        <w:pStyle w:val="12"/>
        <w:jc w:val="both"/>
        <w:rPr>
          <w:rFonts w:ascii="仿宋_GB2312" w:hAnsi="仿宋_GB2312" w:eastAsia="仿宋_GB2312" w:cs="仿宋_GB2312"/>
          <w:sz w:val="24"/>
          <w:highlight w:val="none"/>
        </w:rPr>
      </w:pPr>
      <w:r>
        <w:rPr>
          <w:rFonts w:ascii="仿宋_GB2312" w:hAnsi="仿宋_GB2312" w:eastAsia="仿宋_GB2312" w:cs="仿宋_GB2312"/>
          <w:sz w:val="24"/>
          <w:highlight w:val="none"/>
        </w:rPr>
        <w:t>6、为了防止布类的混杂无序，采购人可提供各病区、科室分布情况及工作人员工作服号码供投标人参阅，并给工作服编号。</w:t>
      </w:r>
    </w:p>
    <w:p w14:paraId="5E8D2A9B">
      <w:pPr>
        <w:pStyle w:val="12"/>
        <w:jc w:val="both"/>
        <w:rPr>
          <w:rFonts w:hint="default" w:eastAsia="仿宋_GB2312"/>
          <w:highlight w:val="none"/>
          <w:lang w:val="en-US" w:eastAsia="zh-CN"/>
        </w:rPr>
      </w:pP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五</w:t>
      </w: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洗涤设备场所要求</w:t>
      </w:r>
    </w:p>
    <w:p w14:paraId="4F9D6D12">
      <w:pPr>
        <w:pStyle w:val="12"/>
        <w:jc w:val="both"/>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sz w:val="24"/>
          <w:highlight w:val="none"/>
          <w:lang w:val="en-US" w:eastAsia="zh-CN"/>
        </w:rPr>
        <w:t>1、</w:t>
      </w:r>
      <w:r>
        <w:rPr>
          <w:rFonts w:ascii="仿宋_GB2312" w:hAnsi="仿宋_GB2312" w:eastAsia="仿宋_GB2312" w:cs="仿宋_GB2312"/>
          <w:sz w:val="24"/>
          <w:highlight w:val="none"/>
        </w:rPr>
        <w:t>提供的洗涤车间整体(非医疗布草洗涤厂房不算)</w:t>
      </w:r>
      <w:r>
        <w:rPr>
          <w:rFonts w:hint="eastAsia" w:ascii="仿宋_GB2312" w:hAnsi="仿宋_GB2312" w:eastAsia="仿宋_GB2312" w:cs="仿宋_GB2312"/>
          <w:sz w:val="24"/>
          <w:highlight w:val="none"/>
          <w:lang w:val="en-US" w:eastAsia="zh-CN"/>
        </w:rPr>
        <w:t>有</w:t>
      </w:r>
      <w:r>
        <w:rPr>
          <w:rFonts w:ascii="仿宋_GB2312" w:hAnsi="仿宋_GB2312" w:eastAsia="仿宋_GB2312" w:cs="仿宋_GB2312"/>
          <w:sz w:val="24"/>
          <w:highlight w:val="none"/>
        </w:rPr>
        <w:t>污、洁区</w:t>
      </w:r>
      <w:r>
        <w:rPr>
          <w:rFonts w:hint="eastAsia" w:ascii="仿宋_GB2312" w:hAnsi="仿宋_GB2312" w:eastAsia="仿宋_GB2312" w:cs="仿宋_GB2312"/>
          <w:sz w:val="24"/>
          <w:highlight w:val="none"/>
          <w:lang w:val="en-US" w:eastAsia="zh-CN"/>
        </w:rPr>
        <w:t>且</w:t>
      </w:r>
      <w:r>
        <w:rPr>
          <w:rFonts w:ascii="仿宋_GB2312" w:hAnsi="仿宋_GB2312" w:eastAsia="仿宋_GB2312" w:cs="仿宋_GB2312"/>
          <w:sz w:val="24"/>
          <w:highlight w:val="none"/>
        </w:rPr>
        <w:t>全封闭隔离</w:t>
      </w:r>
      <w:r>
        <w:rPr>
          <w:rFonts w:hint="eastAsia" w:ascii="仿宋_GB2312" w:hAnsi="仿宋_GB2312" w:eastAsia="仿宋_GB2312" w:cs="仿宋_GB2312"/>
          <w:sz w:val="24"/>
          <w:highlight w:val="none"/>
          <w:lang w:eastAsia="zh-CN"/>
        </w:rPr>
        <w:t>；</w:t>
      </w:r>
    </w:p>
    <w:p w14:paraId="5F895763">
      <w:pPr>
        <w:pStyle w:val="12"/>
        <w:jc w:val="both"/>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sz w:val="24"/>
          <w:highlight w:val="none"/>
          <w:lang w:val="en-US" w:eastAsia="zh-CN"/>
        </w:rPr>
        <w:t>2、</w:t>
      </w:r>
      <w:r>
        <w:rPr>
          <w:rFonts w:ascii="仿宋_GB2312" w:hAnsi="仿宋_GB2312" w:eastAsia="仿宋_GB2312" w:cs="仿宋_GB2312"/>
          <w:sz w:val="24"/>
          <w:highlight w:val="none"/>
        </w:rPr>
        <w:t>配备洗衣龙、高速烫平机、高速折叠机</w:t>
      </w:r>
      <w:r>
        <w:rPr>
          <w:rFonts w:hint="eastAsia" w:ascii="仿宋_GB2312" w:hAnsi="仿宋_GB2312" w:eastAsia="仿宋_GB2312" w:cs="仿宋_GB2312"/>
          <w:sz w:val="24"/>
          <w:highlight w:val="none"/>
          <w:lang w:eastAsia="zh-CN"/>
        </w:rPr>
        <w:t>；</w:t>
      </w:r>
    </w:p>
    <w:p w14:paraId="3764CED6">
      <w:pPr>
        <w:pStyle w:val="12"/>
        <w:jc w:val="both"/>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sz w:val="24"/>
          <w:highlight w:val="none"/>
          <w:lang w:val="en-US" w:eastAsia="zh-CN"/>
        </w:rPr>
        <w:t>3、</w:t>
      </w:r>
      <w:r>
        <w:rPr>
          <w:rFonts w:ascii="仿宋_GB2312" w:hAnsi="仿宋_GB2312" w:eastAsia="仿宋_GB2312" w:cs="仿宋_GB2312"/>
          <w:sz w:val="24"/>
          <w:highlight w:val="none"/>
        </w:rPr>
        <w:t>洗涤场所污、洁区均设人员进出通道并分别配备风淋门</w:t>
      </w:r>
      <w:r>
        <w:rPr>
          <w:rFonts w:hint="eastAsia" w:ascii="仿宋_GB2312" w:hAnsi="仿宋_GB2312" w:eastAsia="仿宋_GB2312" w:cs="仿宋_GB2312"/>
          <w:sz w:val="24"/>
          <w:highlight w:val="none"/>
          <w:lang w:eastAsia="zh-CN"/>
        </w:rPr>
        <w:t>；</w:t>
      </w:r>
    </w:p>
    <w:p w14:paraId="2EE8CD09">
      <w:pPr>
        <w:pStyle w:val="12"/>
        <w:jc w:val="both"/>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sz w:val="24"/>
          <w:highlight w:val="none"/>
          <w:lang w:val="en-US" w:eastAsia="zh-CN"/>
        </w:rPr>
        <w:t>4、</w:t>
      </w:r>
      <w:r>
        <w:rPr>
          <w:rFonts w:ascii="仿宋_GB2312" w:hAnsi="仿宋_GB2312" w:eastAsia="仿宋_GB2312" w:cs="仿宋_GB2312"/>
          <w:sz w:val="24"/>
          <w:highlight w:val="none"/>
        </w:rPr>
        <w:t>洗涤场所</w:t>
      </w:r>
      <w:r>
        <w:rPr>
          <w:rFonts w:hint="eastAsia" w:ascii="仿宋_GB2312" w:hAnsi="仿宋_GB2312" w:eastAsia="仿宋_GB2312" w:cs="仿宋_GB2312"/>
          <w:sz w:val="24"/>
          <w:highlight w:val="none"/>
          <w:lang w:val="en-US" w:eastAsia="zh-CN"/>
        </w:rPr>
        <w:t>有</w:t>
      </w:r>
      <w:r>
        <w:rPr>
          <w:rFonts w:ascii="仿宋_GB2312" w:hAnsi="仿宋_GB2312" w:eastAsia="仿宋_GB2312" w:cs="仿宋_GB2312"/>
          <w:sz w:val="24"/>
          <w:highlight w:val="none"/>
        </w:rPr>
        <w:t>备用水源蓄水池</w:t>
      </w:r>
      <w:r>
        <w:rPr>
          <w:rFonts w:hint="eastAsia" w:ascii="仿宋_GB2312" w:hAnsi="仿宋_GB2312" w:eastAsia="仿宋_GB2312" w:cs="仿宋_GB2312"/>
          <w:sz w:val="24"/>
          <w:highlight w:val="none"/>
          <w:lang w:eastAsia="zh-CN"/>
        </w:rPr>
        <w:t>；</w:t>
      </w:r>
    </w:p>
    <w:p w14:paraId="4564F95A">
      <w:pPr>
        <w:pStyle w:val="12"/>
        <w:jc w:val="both"/>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sz w:val="24"/>
          <w:highlight w:val="none"/>
          <w:lang w:val="en-US" w:eastAsia="zh-CN"/>
        </w:rPr>
        <w:t>5、</w:t>
      </w:r>
      <w:r>
        <w:rPr>
          <w:rFonts w:ascii="仿宋_GB2312" w:hAnsi="仿宋_GB2312" w:eastAsia="仿宋_GB2312" w:cs="仿宋_GB2312"/>
          <w:sz w:val="24"/>
          <w:highlight w:val="none"/>
        </w:rPr>
        <w:t>洗涤场所</w:t>
      </w:r>
      <w:r>
        <w:rPr>
          <w:rFonts w:hint="eastAsia" w:ascii="仿宋_GB2312" w:hAnsi="仿宋_GB2312" w:eastAsia="仿宋_GB2312" w:cs="仿宋_GB2312"/>
          <w:sz w:val="24"/>
          <w:highlight w:val="none"/>
          <w:lang w:val="en-US" w:eastAsia="zh-CN"/>
        </w:rPr>
        <w:t>有</w:t>
      </w:r>
      <w:r>
        <w:rPr>
          <w:rFonts w:ascii="仿宋_GB2312" w:hAnsi="仿宋_GB2312" w:eastAsia="仿宋_GB2312" w:cs="仿宋_GB2312"/>
          <w:sz w:val="24"/>
          <w:highlight w:val="none"/>
        </w:rPr>
        <w:t>洗涤污水存放池</w:t>
      </w:r>
      <w:r>
        <w:rPr>
          <w:rFonts w:hint="eastAsia" w:ascii="仿宋_GB2312" w:hAnsi="仿宋_GB2312" w:eastAsia="仿宋_GB2312" w:cs="仿宋_GB2312"/>
          <w:sz w:val="24"/>
          <w:highlight w:val="none"/>
          <w:lang w:eastAsia="zh-CN"/>
        </w:rPr>
        <w:t>；</w:t>
      </w:r>
    </w:p>
    <w:p w14:paraId="3A72AD88">
      <w:pPr>
        <w:pStyle w:val="12"/>
        <w:jc w:val="both"/>
        <w:rPr>
          <w:rFonts w:hint="eastAsia" w:ascii="仿宋_GB2312" w:hAnsi="仿宋_GB2312" w:eastAsia="仿宋_GB2312" w:cs="仿宋_GB2312"/>
          <w:sz w:val="24"/>
          <w:highlight w:val="none"/>
          <w:lang w:eastAsia="zh-CN"/>
        </w:rPr>
      </w:pPr>
      <w:r>
        <w:rPr>
          <w:rFonts w:hint="eastAsia" w:ascii="仿宋_GB2312" w:hAnsi="仿宋_GB2312" w:eastAsia="仿宋_GB2312" w:cs="仿宋_GB2312"/>
          <w:sz w:val="24"/>
          <w:highlight w:val="none"/>
          <w:lang w:val="en-US" w:eastAsia="zh-CN"/>
        </w:rPr>
        <w:t>6、有</w:t>
      </w:r>
      <w:r>
        <w:rPr>
          <w:rFonts w:ascii="仿宋_GB2312" w:hAnsi="仿宋_GB2312" w:eastAsia="仿宋_GB2312" w:cs="仿宋_GB2312"/>
          <w:sz w:val="24"/>
          <w:highlight w:val="none"/>
        </w:rPr>
        <w:t>布草运输车辆</w:t>
      </w:r>
      <w:r>
        <w:rPr>
          <w:rFonts w:hint="eastAsia" w:ascii="仿宋_GB2312" w:hAnsi="仿宋_GB2312" w:eastAsia="仿宋_GB2312" w:cs="仿宋_GB2312"/>
          <w:sz w:val="24"/>
          <w:highlight w:val="none"/>
          <w:lang w:eastAsia="zh-CN"/>
        </w:rPr>
        <w:t>；</w:t>
      </w:r>
    </w:p>
    <w:p w14:paraId="6ACCC396">
      <w:pPr>
        <w:pStyle w:val="12"/>
        <w:jc w:val="both"/>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备注：洗涤设备场所采购人有权对真实性进行审核，若达不到采购人要求，采购人有权废标处理。</w:t>
      </w:r>
    </w:p>
    <w:p w14:paraId="00EE62C2">
      <w:pPr>
        <w:pStyle w:val="12"/>
        <w:jc w:val="both"/>
        <w:outlineLvl w:val="2"/>
        <w:rPr>
          <w:highlight w:val="none"/>
        </w:rPr>
      </w:pPr>
      <w:r>
        <w:rPr>
          <w:rFonts w:ascii="仿宋_GB2312" w:hAnsi="仿宋_GB2312" w:eastAsia="仿宋_GB2312" w:cs="仿宋_GB2312"/>
          <w:b/>
          <w:sz w:val="28"/>
          <w:highlight w:val="none"/>
        </w:rPr>
        <w:t>三、商务要求</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673"/>
        <w:gridCol w:w="2673"/>
        <w:gridCol w:w="2673"/>
      </w:tblGrid>
      <w:tr w14:paraId="1095A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trPr>
        <w:tc>
          <w:tcPr>
            <w:tcW w:w="2673" w:type="dxa"/>
          </w:tcPr>
          <w:p w14:paraId="2978CD52">
            <w:pPr>
              <w:pStyle w:val="12"/>
              <w:jc w:val="left"/>
              <w:rPr>
                <w:highlight w:val="none"/>
              </w:rPr>
            </w:pPr>
            <w:r>
              <w:rPr>
                <w:rFonts w:ascii="仿宋_GB2312" w:hAnsi="仿宋_GB2312" w:eastAsia="仿宋_GB2312" w:cs="仿宋_GB2312"/>
                <w:highlight w:val="none"/>
              </w:rPr>
              <w:t>序号</w:t>
            </w:r>
          </w:p>
        </w:tc>
        <w:tc>
          <w:tcPr>
            <w:tcW w:w="2673" w:type="dxa"/>
          </w:tcPr>
          <w:p w14:paraId="618D8928">
            <w:pPr>
              <w:pStyle w:val="12"/>
              <w:jc w:val="left"/>
              <w:rPr>
                <w:highlight w:val="none"/>
              </w:rPr>
            </w:pPr>
            <w:r>
              <w:rPr>
                <w:rFonts w:ascii="仿宋_GB2312" w:hAnsi="仿宋_GB2312" w:eastAsia="仿宋_GB2312" w:cs="仿宋_GB2312"/>
                <w:highlight w:val="none"/>
              </w:rPr>
              <w:t>类型</w:t>
            </w:r>
          </w:p>
        </w:tc>
        <w:tc>
          <w:tcPr>
            <w:tcW w:w="2673" w:type="dxa"/>
          </w:tcPr>
          <w:p w14:paraId="42EE802F">
            <w:pPr>
              <w:pStyle w:val="12"/>
              <w:jc w:val="left"/>
              <w:rPr>
                <w:highlight w:val="none"/>
              </w:rPr>
            </w:pPr>
            <w:r>
              <w:rPr>
                <w:rFonts w:ascii="仿宋_GB2312" w:hAnsi="仿宋_GB2312" w:eastAsia="仿宋_GB2312" w:cs="仿宋_GB2312"/>
                <w:highlight w:val="none"/>
              </w:rPr>
              <w:t>要求</w:t>
            </w:r>
          </w:p>
        </w:tc>
      </w:tr>
      <w:tr w14:paraId="513D6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6" w:hRule="atLeast"/>
        </w:trPr>
        <w:tc>
          <w:tcPr>
            <w:tcW w:w="2673" w:type="dxa"/>
          </w:tcPr>
          <w:p w14:paraId="0E158B7C">
            <w:pPr>
              <w:pStyle w:val="12"/>
              <w:jc w:val="left"/>
              <w:rPr>
                <w:highlight w:val="none"/>
              </w:rPr>
            </w:pPr>
            <w:r>
              <w:rPr>
                <w:rFonts w:ascii="仿宋_GB2312" w:hAnsi="仿宋_GB2312" w:eastAsia="仿宋_GB2312" w:cs="仿宋_GB2312"/>
                <w:highlight w:val="none"/>
              </w:rPr>
              <w:t>1</w:t>
            </w:r>
          </w:p>
        </w:tc>
        <w:tc>
          <w:tcPr>
            <w:tcW w:w="2673" w:type="dxa"/>
          </w:tcPr>
          <w:p w14:paraId="1EC1FEF4">
            <w:pPr>
              <w:pStyle w:val="12"/>
              <w:jc w:val="left"/>
              <w:rPr>
                <w:highlight w:val="none"/>
              </w:rPr>
            </w:pPr>
            <w:r>
              <w:rPr>
                <w:rFonts w:ascii="仿宋_GB2312" w:hAnsi="仿宋_GB2312" w:eastAsia="仿宋_GB2312" w:cs="仿宋_GB2312"/>
                <w:highlight w:val="none"/>
              </w:rPr>
              <w:t>交货地点</w:t>
            </w:r>
          </w:p>
        </w:tc>
        <w:tc>
          <w:tcPr>
            <w:tcW w:w="2673" w:type="dxa"/>
          </w:tcPr>
          <w:p w14:paraId="32ED8AF8">
            <w:pPr>
              <w:pStyle w:val="12"/>
              <w:jc w:val="left"/>
              <w:rPr>
                <w:highlight w:val="none"/>
              </w:rPr>
            </w:pPr>
            <w:r>
              <w:rPr>
                <w:rFonts w:ascii="仿宋_GB2312" w:hAnsi="仿宋_GB2312" w:eastAsia="仿宋_GB2312" w:cs="仿宋_GB2312"/>
                <w:highlight w:val="none"/>
              </w:rPr>
              <w:t>福建省福州市晋安区福马路420号</w:t>
            </w:r>
          </w:p>
        </w:tc>
      </w:tr>
      <w:tr w14:paraId="5018B5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trPr>
        <w:tc>
          <w:tcPr>
            <w:tcW w:w="2673" w:type="dxa"/>
          </w:tcPr>
          <w:p w14:paraId="475D5769">
            <w:pPr>
              <w:pStyle w:val="12"/>
              <w:jc w:val="left"/>
              <w:rPr>
                <w:rFonts w:hint="eastAsia" w:eastAsiaTheme="minorEastAsia"/>
                <w:highlight w:val="none"/>
                <w:lang w:eastAsia="zh-CN"/>
              </w:rPr>
            </w:pPr>
            <w:r>
              <w:rPr>
                <w:rFonts w:hint="eastAsia" w:ascii="仿宋_GB2312" w:hAnsi="仿宋_GB2312" w:eastAsia="仿宋_GB2312" w:cs="仿宋_GB2312"/>
                <w:highlight w:val="none"/>
                <w:lang w:val="en-US" w:eastAsia="zh-CN"/>
              </w:rPr>
              <w:t>2</w:t>
            </w:r>
          </w:p>
        </w:tc>
        <w:tc>
          <w:tcPr>
            <w:tcW w:w="2673" w:type="dxa"/>
          </w:tcPr>
          <w:p w14:paraId="2D3B44E0">
            <w:pPr>
              <w:pStyle w:val="12"/>
              <w:jc w:val="left"/>
              <w:rPr>
                <w:highlight w:val="none"/>
              </w:rPr>
            </w:pPr>
            <w:r>
              <w:rPr>
                <w:rFonts w:ascii="仿宋_GB2312" w:hAnsi="仿宋_GB2312" w:eastAsia="仿宋_GB2312" w:cs="仿宋_GB2312"/>
                <w:highlight w:val="none"/>
              </w:rPr>
              <w:t>交货条件</w:t>
            </w:r>
          </w:p>
        </w:tc>
        <w:tc>
          <w:tcPr>
            <w:tcW w:w="2673" w:type="dxa"/>
          </w:tcPr>
          <w:p w14:paraId="09EBDBBA">
            <w:pPr>
              <w:pStyle w:val="12"/>
              <w:jc w:val="left"/>
              <w:rPr>
                <w:highlight w:val="none"/>
              </w:rPr>
            </w:pPr>
            <w:r>
              <w:rPr>
                <w:rFonts w:ascii="仿宋_GB2312" w:hAnsi="仿宋_GB2312" w:eastAsia="仿宋_GB2312" w:cs="仿宋_GB2312"/>
                <w:highlight w:val="none"/>
              </w:rPr>
              <w:t>按招标文件要求</w:t>
            </w:r>
          </w:p>
        </w:tc>
      </w:tr>
      <w:tr w14:paraId="35244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2" w:hRule="atLeast"/>
        </w:trPr>
        <w:tc>
          <w:tcPr>
            <w:tcW w:w="2673" w:type="dxa"/>
          </w:tcPr>
          <w:p w14:paraId="6B700558">
            <w:pPr>
              <w:pStyle w:val="12"/>
              <w:jc w:val="left"/>
              <w:rPr>
                <w:rFonts w:hint="eastAsia" w:eastAsiaTheme="minorEastAsia"/>
                <w:highlight w:val="none"/>
                <w:lang w:eastAsia="zh-CN"/>
              </w:rPr>
            </w:pPr>
            <w:r>
              <w:rPr>
                <w:rFonts w:hint="eastAsia" w:ascii="仿宋_GB2312" w:hAnsi="仿宋_GB2312" w:eastAsia="仿宋_GB2312" w:cs="仿宋_GB2312"/>
                <w:highlight w:val="none"/>
                <w:lang w:val="en-US" w:eastAsia="zh-CN"/>
              </w:rPr>
              <w:t>3</w:t>
            </w:r>
          </w:p>
        </w:tc>
        <w:tc>
          <w:tcPr>
            <w:tcW w:w="2673" w:type="dxa"/>
          </w:tcPr>
          <w:p w14:paraId="36FDDEE5">
            <w:pPr>
              <w:pStyle w:val="12"/>
              <w:jc w:val="left"/>
              <w:rPr>
                <w:highlight w:val="none"/>
              </w:rPr>
            </w:pPr>
            <w:r>
              <w:rPr>
                <w:rFonts w:ascii="仿宋_GB2312" w:hAnsi="仿宋_GB2312" w:eastAsia="仿宋_GB2312" w:cs="仿宋_GB2312"/>
                <w:highlight w:val="none"/>
              </w:rPr>
              <w:t>是否邀请投标人验收</w:t>
            </w:r>
          </w:p>
        </w:tc>
        <w:tc>
          <w:tcPr>
            <w:tcW w:w="2673" w:type="dxa"/>
          </w:tcPr>
          <w:p w14:paraId="0FB5AC93">
            <w:pPr>
              <w:pStyle w:val="12"/>
              <w:jc w:val="left"/>
              <w:rPr>
                <w:highlight w:val="none"/>
              </w:rPr>
            </w:pPr>
            <w:r>
              <w:rPr>
                <w:rFonts w:ascii="仿宋_GB2312" w:hAnsi="仿宋_GB2312" w:eastAsia="仿宋_GB2312" w:cs="仿宋_GB2312"/>
                <w:highlight w:val="none"/>
              </w:rPr>
              <w:t>不邀请投标人验收</w:t>
            </w:r>
          </w:p>
        </w:tc>
      </w:tr>
      <w:tr w14:paraId="791A8D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trPr>
        <w:tc>
          <w:tcPr>
            <w:tcW w:w="2673" w:type="dxa"/>
          </w:tcPr>
          <w:p w14:paraId="11537923">
            <w:pPr>
              <w:pStyle w:val="12"/>
              <w:jc w:val="left"/>
              <w:rPr>
                <w:rFonts w:hint="eastAsia" w:eastAsiaTheme="minorEastAsia"/>
                <w:highlight w:val="none"/>
                <w:lang w:eastAsia="zh-CN"/>
              </w:rPr>
            </w:pPr>
            <w:r>
              <w:rPr>
                <w:rFonts w:hint="eastAsia" w:ascii="仿宋_GB2312" w:hAnsi="仿宋_GB2312" w:eastAsia="仿宋_GB2312" w:cs="仿宋_GB2312"/>
                <w:highlight w:val="none"/>
                <w:lang w:val="en-US" w:eastAsia="zh-CN"/>
              </w:rPr>
              <w:t>4</w:t>
            </w:r>
          </w:p>
        </w:tc>
        <w:tc>
          <w:tcPr>
            <w:tcW w:w="2673" w:type="dxa"/>
          </w:tcPr>
          <w:p w14:paraId="2E6E482F">
            <w:pPr>
              <w:pStyle w:val="12"/>
              <w:jc w:val="left"/>
              <w:rPr>
                <w:highlight w:val="none"/>
              </w:rPr>
            </w:pPr>
            <w:r>
              <w:rPr>
                <w:rFonts w:ascii="仿宋_GB2312" w:hAnsi="仿宋_GB2312" w:eastAsia="仿宋_GB2312" w:cs="仿宋_GB2312"/>
                <w:highlight w:val="none"/>
              </w:rPr>
              <w:t>履约验收方式</w:t>
            </w:r>
          </w:p>
        </w:tc>
        <w:tc>
          <w:tcPr>
            <w:tcW w:w="2673" w:type="dxa"/>
          </w:tcPr>
          <w:p w14:paraId="6DF60F5E">
            <w:pPr>
              <w:pStyle w:val="12"/>
              <w:jc w:val="left"/>
              <w:rPr>
                <w:highlight w:val="none"/>
              </w:rPr>
            </w:pPr>
            <w:r>
              <w:rPr>
                <w:rFonts w:ascii="仿宋_GB2312" w:hAnsi="仿宋_GB2312" w:eastAsia="仿宋_GB2312" w:cs="仿宋_GB2312"/>
                <w:highlight w:val="none"/>
              </w:rPr>
              <w:t>1、期次1，说明：按招标文件或合同要求验收，完成合同的所有约定要求。</w:t>
            </w:r>
          </w:p>
        </w:tc>
      </w:tr>
      <w:tr w14:paraId="0354F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27" w:hRule="atLeast"/>
        </w:trPr>
        <w:tc>
          <w:tcPr>
            <w:tcW w:w="2673" w:type="dxa"/>
          </w:tcPr>
          <w:p w14:paraId="21644340">
            <w:pPr>
              <w:pStyle w:val="12"/>
              <w:jc w:val="left"/>
              <w:rPr>
                <w:rFonts w:hint="eastAsia" w:eastAsiaTheme="minorEastAsia"/>
                <w:highlight w:val="none"/>
                <w:lang w:eastAsia="zh-CN"/>
              </w:rPr>
            </w:pPr>
            <w:r>
              <w:rPr>
                <w:rFonts w:hint="eastAsia" w:ascii="仿宋_GB2312" w:hAnsi="仿宋_GB2312" w:eastAsia="仿宋_GB2312" w:cs="仿宋_GB2312"/>
                <w:highlight w:val="none"/>
                <w:lang w:val="en-US" w:eastAsia="zh-CN"/>
              </w:rPr>
              <w:t>5</w:t>
            </w:r>
          </w:p>
        </w:tc>
        <w:tc>
          <w:tcPr>
            <w:tcW w:w="2673" w:type="dxa"/>
          </w:tcPr>
          <w:p w14:paraId="70989DD7">
            <w:pPr>
              <w:pStyle w:val="12"/>
              <w:jc w:val="left"/>
              <w:rPr>
                <w:highlight w:val="none"/>
              </w:rPr>
            </w:pPr>
            <w:r>
              <w:rPr>
                <w:rFonts w:ascii="仿宋_GB2312" w:hAnsi="仿宋_GB2312" w:eastAsia="仿宋_GB2312" w:cs="仿宋_GB2312"/>
                <w:highlight w:val="none"/>
              </w:rPr>
              <w:t>合同支付方式</w:t>
            </w:r>
          </w:p>
        </w:tc>
        <w:tc>
          <w:tcPr>
            <w:tcW w:w="2673" w:type="dxa"/>
          </w:tcPr>
          <w:p w14:paraId="7689F929">
            <w:pPr>
              <w:pStyle w:val="12"/>
              <w:jc w:val="left"/>
              <w:rPr>
                <w:highlight w:val="none"/>
              </w:rPr>
            </w:pPr>
            <w:r>
              <w:rPr>
                <w:rFonts w:ascii="仿宋_GB2312" w:hAnsi="仿宋_GB2312" w:eastAsia="仿宋_GB2312" w:cs="仿宋_GB2312"/>
                <w:highlight w:val="none"/>
              </w:rPr>
              <w:t>1、进度款，详见8.其他，达到付款条件起60日内，支付合同总金额的100.00%</w:t>
            </w:r>
          </w:p>
        </w:tc>
      </w:tr>
    </w:tbl>
    <w:p w14:paraId="2D811770">
      <w:pPr>
        <w:pStyle w:val="12"/>
        <w:jc w:val="left"/>
        <w:rPr>
          <w:highlight w:val="none"/>
        </w:rPr>
      </w:pPr>
      <w:r>
        <w:rPr>
          <w:rFonts w:ascii="仿宋_GB2312" w:hAnsi="仿宋_GB2312" w:eastAsia="仿宋_GB2312" w:cs="仿宋_GB2312"/>
          <w:highlight w:val="none"/>
        </w:rPr>
        <w:t>其他商务要求</w:t>
      </w:r>
    </w:p>
    <w:p w14:paraId="5FAC4DE1">
      <w:pPr>
        <w:pStyle w:val="12"/>
        <w:ind w:firstLine="480"/>
        <w:jc w:val="left"/>
        <w:rPr>
          <w:highlight w:val="none"/>
        </w:rPr>
      </w:pPr>
      <w:r>
        <w:rPr>
          <w:rFonts w:ascii="仿宋_GB2312" w:hAnsi="仿宋_GB2312" w:eastAsia="仿宋_GB2312" w:cs="仿宋_GB2312"/>
          <w:sz w:val="21"/>
          <w:highlight w:val="none"/>
        </w:rPr>
        <w:t>1、采购人有权依据国家有关法律、法规及采购人相关的管理制度，对中标人的人员、服务质量、消防、环境卫生、安全管理等方面实行指导、监督、检查和管理。如出现采购人使用人员投诉的或采购人相关部门检查发现中标人存在违约违规行为的，经采购人核查属实，中标人应向采购人支付违约金600元/次，经采购人确认属于情节严重的应支付违约金5000元/次；中标人拒不整改或在采购人限定的期限内未能完成整改的，中标人应向采购人支付违约金10000元/次，采购人有权要求中标人中止服务并整改，同时有权要求中标人支付整改期间采购人产生的全部损失（包括但不限于采购人因此向第三方采购服务所产生的一切费用等）。如引发安全事故，除赔偿采购人因此产生的全部损失外，另需支付违约金50000元/次。</w:t>
      </w:r>
    </w:p>
    <w:p w14:paraId="470557CF">
      <w:pPr>
        <w:pStyle w:val="12"/>
        <w:jc w:val="both"/>
        <w:rPr>
          <w:highlight w:val="none"/>
        </w:rPr>
      </w:pPr>
      <w:r>
        <w:rPr>
          <w:rFonts w:ascii="仿宋_GB2312" w:hAnsi="仿宋_GB2312" w:eastAsia="仿宋_GB2312" w:cs="仿宋_GB2312"/>
          <w:sz w:val="21"/>
          <w:highlight w:val="none"/>
        </w:rPr>
        <w:t>2、若因中标人行为导致损害采购人的声誉及形象的，采购人有权要求中标人限期改正，且中标人应向采购人支付违约金5000元/次。</w:t>
      </w:r>
    </w:p>
    <w:p w14:paraId="24AECA92">
      <w:pPr>
        <w:pStyle w:val="12"/>
        <w:jc w:val="both"/>
        <w:rPr>
          <w:highlight w:val="none"/>
        </w:rPr>
      </w:pPr>
      <w:r>
        <w:rPr>
          <w:rFonts w:ascii="仿宋_GB2312" w:hAnsi="仿宋_GB2312" w:eastAsia="仿宋_GB2312" w:cs="仿宋_GB2312"/>
          <w:sz w:val="21"/>
          <w:highlight w:val="none"/>
        </w:rPr>
        <w:t>3、采购人有权对中标人进行质量抽检，具体分为感官指标和微生物指标检查。感官指标是指洗涤后的清洁布类外观整洁，干燥，无污渍，无异味，无破损。院方每月抽查100件，超过三件以上不合格，不合格的中标人需支付100元/件的违约金。如遇特殊情况，采购人有权采用微生物指标检查对中标人的洗涤质量进行检测，微生物指标的检查是指洗涤后的清洁布类微生物指标应符合下表的要求，如检测后的指标不符合下表的，采购人有权单方面解除合同。</w:t>
      </w:r>
    </w:p>
    <w:tbl>
      <w:tblPr>
        <w:tblStyle w:val="8"/>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53"/>
        <w:gridCol w:w="4153"/>
      </w:tblGrid>
      <w:tr w14:paraId="6FB73C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660AC2">
            <w:pPr>
              <w:pStyle w:val="12"/>
              <w:jc w:val="both"/>
              <w:rPr>
                <w:highlight w:val="none"/>
              </w:rPr>
            </w:pPr>
            <w:r>
              <w:rPr>
                <w:rFonts w:ascii="仿宋_GB2312" w:hAnsi="仿宋_GB2312" w:eastAsia="仿宋_GB2312" w:cs="仿宋_GB2312"/>
                <w:sz w:val="21"/>
                <w:highlight w:val="none"/>
              </w:rPr>
              <w:t>项目</w:t>
            </w:r>
          </w:p>
        </w:tc>
        <w:tc>
          <w:tcPr>
            <w:tcW w:w="41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F0982D4">
            <w:pPr>
              <w:pStyle w:val="12"/>
              <w:jc w:val="both"/>
              <w:rPr>
                <w:highlight w:val="none"/>
              </w:rPr>
            </w:pPr>
            <w:r>
              <w:rPr>
                <w:rFonts w:ascii="仿宋_GB2312" w:hAnsi="仿宋_GB2312" w:eastAsia="仿宋_GB2312" w:cs="仿宋_GB2312"/>
                <w:sz w:val="21"/>
                <w:highlight w:val="none"/>
              </w:rPr>
              <w:t>指标</w:t>
            </w:r>
          </w:p>
        </w:tc>
      </w:tr>
      <w:tr w14:paraId="0CEC4D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936E9A">
            <w:pPr>
              <w:pStyle w:val="12"/>
              <w:jc w:val="both"/>
              <w:rPr>
                <w:highlight w:val="none"/>
              </w:rPr>
            </w:pPr>
            <w:r>
              <w:rPr>
                <w:rFonts w:ascii="仿宋_GB2312" w:hAnsi="仿宋_GB2312" w:eastAsia="仿宋_GB2312" w:cs="仿宋_GB2312"/>
                <w:sz w:val="21"/>
                <w:highlight w:val="none"/>
              </w:rPr>
              <w:t>细菌菌落总数，cfu/100cm²</w:t>
            </w:r>
          </w:p>
        </w:tc>
        <w:tc>
          <w:tcPr>
            <w:tcW w:w="4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826D7A">
            <w:pPr>
              <w:pStyle w:val="12"/>
              <w:jc w:val="both"/>
              <w:rPr>
                <w:highlight w:val="none"/>
              </w:rPr>
            </w:pPr>
            <w:r>
              <w:rPr>
                <w:rFonts w:ascii="仿宋_GB2312" w:hAnsi="仿宋_GB2312" w:eastAsia="仿宋_GB2312" w:cs="仿宋_GB2312"/>
                <w:sz w:val="21"/>
                <w:highlight w:val="none"/>
              </w:rPr>
              <w:t>≤200</w:t>
            </w:r>
          </w:p>
        </w:tc>
      </w:tr>
      <w:tr w14:paraId="4DC779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F43751">
            <w:pPr>
              <w:pStyle w:val="12"/>
              <w:jc w:val="both"/>
              <w:rPr>
                <w:highlight w:val="none"/>
              </w:rPr>
            </w:pPr>
            <w:r>
              <w:rPr>
                <w:rFonts w:ascii="仿宋_GB2312" w:hAnsi="仿宋_GB2312" w:eastAsia="仿宋_GB2312" w:cs="仿宋_GB2312"/>
                <w:sz w:val="21"/>
                <w:highlight w:val="none"/>
              </w:rPr>
              <w:t>大肠菌群</w:t>
            </w:r>
          </w:p>
        </w:tc>
        <w:tc>
          <w:tcPr>
            <w:tcW w:w="4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496189">
            <w:pPr>
              <w:pStyle w:val="12"/>
              <w:jc w:val="both"/>
              <w:rPr>
                <w:highlight w:val="none"/>
              </w:rPr>
            </w:pPr>
            <w:r>
              <w:rPr>
                <w:rFonts w:ascii="仿宋_GB2312" w:hAnsi="仿宋_GB2312" w:eastAsia="仿宋_GB2312" w:cs="仿宋_GB2312"/>
                <w:sz w:val="21"/>
                <w:highlight w:val="none"/>
              </w:rPr>
              <w:t>不得检出</w:t>
            </w:r>
          </w:p>
        </w:tc>
      </w:tr>
      <w:tr w14:paraId="44CD0D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F85A87">
            <w:pPr>
              <w:pStyle w:val="12"/>
              <w:jc w:val="both"/>
              <w:rPr>
                <w:highlight w:val="none"/>
              </w:rPr>
            </w:pPr>
            <w:r>
              <w:rPr>
                <w:rFonts w:ascii="仿宋_GB2312" w:hAnsi="仿宋_GB2312" w:eastAsia="仿宋_GB2312" w:cs="仿宋_GB2312"/>
                <w:sz w:val="21"/>
                <w:highlight w:val="none"/>
              </w:rPr>
              <w:t>金黄色葡萄球菌</w:t>
            </w:r>
          </w:p>
        </w:tc>
        <w:tc>
          <w:tcPr>
            <w:tcW w:w="41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C783E4">
            <w:pPr>
              <w:pStyle w:val="12"/>
              <w:jc w:val="both"/>
              <w:rPr>
                <w:highlight w:val="none"/>
              </w:rPr>
            </w:pPr>
            <w:r>
              <w:rPr>
                <w:rFonts w:ascii="仿宋_GB2312" w:hAnsi="仿宋_GB2312" w:eastAsia="仿宋_GB2312" w:cs="仿宋_GB2312"/>
                <w:sz w:val="21"/>
                <w:highlight w:val="none"/>
              </w:rPr>
              <w:t>不得检出</w:t>
            </w:r>
          </w:p>
        </w:tc>
      </w:tr>
    </w:tbl>
    <w:p w14:paraId="7B1FB5DB">
      <w:pPr>
        <w:pStyle w:val="12"/>
        <w:jc w:val="both"/>
        <w:rPr>
          <w:highlight w:val="none"/>
        </w:rPr>
      </w:pPr>
      <w:r>
        <w:rPr>
          <w:rFonts w:ascii="仿宋_GB2312" w:hAnsi="仿宋_GB2312" w:eastAsia="仿宋_GB2312" w:cs="仿宋_GB2312"/>
          <w:highlight w:val="none"/>
        </w:rPr>
        <w:t>4、</w:t>
      </w:r>
      <w:r>
        <w:rPr>
          <w:rFonts w:ascii="仿宋_GB2312" w:hAnsi="仿宋_GB2312" w:eastAsia="仿宋_GB2312" w:cs="仿宋_GB2312"/>
          <w:sz w:val="21"/>
          <w:highlight w:val="none"/>
        </w:rPr>
        <w:t>中标人洗涤不当或管理不当，致使采购人自购的布草破损无法使用或人为原因造成丢失（自使用科室反馈丢失之日起30日内未找回的视为丢失）的，由中标人根据采购人布草的进价价格予以原价赔偿，赔偿金额直接从中标人当月的洗涤服务费内进行扣除。</w:t>
      </w:r>
    </w:p>
    <w:p w14:paraId="4B4224FF">
      <w:pPr>
        <w:pStyle w:val="12"/>
        <w:jc w:val="both"/>
        <w:rPr>
          <w:highlight w:val="none"/>
        </w:rPr>
      </w:pPr>
      <w:r>
        <w:rPr>
          <w:rFonts w:ascii="仿宋_GB2312" w:hAnsi="仿宋_GB2312" w:eastAsia="仿宋_GB2312" w:cs="仿宋_GB2312"/>
          <w:sz w:val="21"/>
          <w:highlight w:val="none"/>
        </w:rPr>
        <w:t>5、若因中标人不能按质、按量、按时交付洗涤布类，影响采购人临床使用，特别是手术室、ICU、供应室等重要部门的布类使用，则中标人应向采购人支付违约金1500元/天。</w:t>
      </w:r>
    </w:p>
    <w:p w14:paraId="40640ED8">
      <w:pPr>
        <w:pStyle w:val="12"/>
        <w:jc w:val="both"/>
        <w:rPr>
          <w:highlight w:val="none"/>
        </w:rPr>
      </w:pPr>
      <w:r>
        <w:rPr>
          <w:rFonts w:ascii="仿宋_GB2312" w:hAnsi="仿宋_GB2312" w:eastAsia="仿宋_GB2312" w:cs="仿宋_GB2312"/>
          <w:sz w:val="21"/>
          <w:highlight w:val="none"/>
        </w:rPr>
        <w:t>6、采购人将不定时对中标人的人员配置进行抽查，每发现一次项目经理无故脱岗或收送人员不足，中标人应向采购人支付违约金1500元/次，发现人员不足情况3次以上，采购人有权单方面解除合同并确定解除合同的时间（在未正式解除合同、未确定新的中标人前，中标人应尽的服务义务仍必须履行，以保证采购人医疗服务正常进行，否则采购人因此产生的损失由中标人负责赔付）。</w:t>
      </w:r>
    </w:p>
    <w:p w14:paraId="7A47A826">
      <w:pPr>
        <w:pStyle w:val="12"/>
        <w:jc w:val="both"/>
        <w:rPr>
          <w:highlight w:val="none"/>
        </w:rPr>
      </w:pPr>
      <w:r>
        <w:rPr>
          <w:rFonts w:ascii="仿宋_GB2312" w:hAnsi="仿宋_GB2312" w:eastAsia="仿宋_GB2312" w:cs="仿宋_GB2312"/>
          <w:sz w:val="21"/>
          <w:highlight w:val="none"/>
        </w:rPr>
        <w:t>7、中标人应组建以熟悉行业领域的项目团队服务于采购人，按照采购人指定地点服务，应尽可能保证本项目人员固定。中标人确需更换人员的，应提前一个月报采购人批准且做好人员交接培训，所更换人员资格条件不得低于投标承诺人员。未经采购人同意更换项目经理、项目主管的，处以违约金1万元/人次；未经采购人同意更换项目经理、项目主管外其他项目人员，影响服务质量的，处以违约金3000元/人次。</w:t>
      </w:r>
    </w:p>
    <w:p w14:paraId="3505AB55">
      <w:pPr>
        <w:pStyle w:val="12"/>
        <w:jc w:val="both"/>
        <w:rPr>
          <w:highlight w:val="none"/>
        </w:rPr>
      </w:pPr>
      <w:r>
        <w:rPr>
          <w:rFonts w:ascii="仿宋_GB2312" w:hAnsi="仿宋_GB2312" w:eastAsia="仿宋_GB2312" w:cs="仿宋_GB2312"/>
          <w:sz w:val="21"/>
          <w:highlight w:val="none"/>
        </w:rPr>
        <w:t>8、中标人应加强对员工的管理，若在采购人院内出现中标人员工偷窃布类行为，一经发现，中标人应按员工所偷窃布类成本价的10倍支付违约金。</w:t>
      </w:r>
    </w:p>
    <w:p w14:paraId="62E0FD46">
      <w:pPr>
        <w:pStyle w:val="12"/>
        <w:jc w:val="both"/>
        <w:rPr>
          <w:highlight w:val="none"/>
        </w:rPr>
      </w:pPr>
      <w:r>
        <w:rPr>
          <w:rFonts w:ascii="仿宋_GB2312" w:hAnsi="仿宋_GB2312" w:eastAsia="仿宋_GB2312" w:cs="仿宋_GB2312"/>
          <w:sz w:val="21"/>
          <w:highlight w:val="none"/>
        </w:rPr>
        <w:t>9、除合同另有约定外，如采购人发现中标人提供的服务不符合合同约定或具体实施的方案等与中标人投标文件不一致的，中标人应向采购人支付违约金600元/次。</w:t>
      </w:r>
    </w:p>
    <w:p w14:paraId="4C934AE6">
      <w:pPr>
        <w:pStyle w:val="12"/>
        <w:jc w:val="both"/>
        <w:rPr>
          <w:highlight w:val="none"/>
        </w:rPr>
      </w:pPr>
      <w:r>
        <w:rPr>
          <w:rFonts w:ascii="仿宋_GB2312" w:hAnsi="仿宋_GB2312" w:eastAsia="仿宋_GB2312" w:cs="仿宋_GB2312"/>
          <w:sz w:val="21"/>
          <w:highlight w:val="none"/>
        </w:rPr>
        <w:t>10、因中标人原因造成本项目合同无法按时签订，视为中标人违约，中标人违约对采购人造成损失的，中标人应支付相应的赔偿。在签订本项目合同之后，中标人不能履约、不履约的，采购人有权单方面解除合同。</w:t>
      </w:r>
    </w:p>
    <w:p w14:paraId="39B7AFB6">
      <w:pPr>
        <w:pStyle w:val="12"/>
        <w:jc w:val="both"/>
        <w:rPr>
          <w:highlight w:val="none"/>
        </w:rPr>
      </w:pPr>
      <w:r>
        <w:rPr>
          <w:rFonts w:ascii="仿宋_GB2312" w:hAnsi="仿宋_GB2312" w:eastAsia="仿宋_GB2312" w:cs="仿宋_GB2312"/>
          <w:sz w:val="21"/>
          <w:highlight w:val="none"/>
        </w:rPr>
        <w:t>11、如中标人因履行或未履行（无论是否存在过失）合同导致采购人、中标人或任何第三方人员伤亡、财产发生毁损或灭失，中标人应承担全部责任，并应确保采购人免于所有相关的索赔、损失、损害、费用和责任，且采购人有权单方面解除合同。</w:t>
      </w:r>
    </w:p>
    <w:p w14:paraId="6074625A">
      <w:pPr>
        <w:pStyle w:val="12"/>
        <w:jc w:val="both"/>
        <w:rPr>
          <w:highlight w:val="none"/>
        </w:rPr>
      </w:pPr>
      <w:r>
        <w:rPr>
          <w:rFonts w:ascii="仿宋_GB2312" w:hAnsi="仿宋_GB2312" w:eastAsia="仿宋_GB2312" w:cs="仿宋_GB2312"/>
          <w:sz w:val="21"/>
          <w:highlight w:val="none"/>
        </w:rPr>
        <w:t>13、采购人在与中标人签订合同前，有权去现场核实中标人投入本项目的各种设备，若现场核查的设备与投标文件不相符，采购人有权取消其中标资格。</w:t>
      </w:r>
    </w:p>
    <w:p w14:paraId="437F8D07">
      <w:pPr>
        <w:pStyle w:val="12"/>
        <w:jc w:val="both"/>
        <w:rPr>
          <w:highlight w:val="none"/>
        </w:rPr>
      </w:pPr>
      <w:r>
        <w:rPr>
          <w:rFonts w:ascii="仿宋_GB2312" w:hAnsi="仿宋_GB2312" w:eastAsia="仿宋_GB2312" w:cs="仿宋_GB2312"/>
          <w:sz w:val="21"/>
          <w:highlight w:val="none"/>
        </w:rPr>
        <w:t>12、考核办法：</w:t>
      </w:r>
    </w:p>
    <w:p w14:paraId="760207CF">
      <w:pPr>
        <w:pStyle w:val="12"/>
        <w:jc w:val="both"/>
        <w:rPr>
          <w:highlight w:val="none"/>
        </w:rPr>
      </w:pPr>
      <w:r>
        <w:rPr>
          <w:rFonts w:ascii="仿宋_GB2312" w:hAnsi="仿宋_GB2312" w:eastAsia="仿宋_GB2312" w:cs="仿宋_GB2312"/>
          <w:sz w:val="21"/>
          <w:highlight w:val="none"/>
        </w:rPr>
        <w:t>12.1采购人授权的业务监督部门每月对中标人的服务质量进行考核。月度考核满分为100分，业务监督部门满意度占30分，实际使用科室满意度占70分，合计满意度考核分数应≥90分，不足90分的，每分需支付违约金1000元。月度考核中应支付的违约金采购人将直接从当月的洗涤服务费内进行扣除，中标人如有异议需以书面形式提出反驳依据。</w:t>
      </w:r>
    </w:p>
    <w:p w14:paraId="1C6C3678">
      <w:pPr>
        <w:pStyle w:val="12"/>
        <w:jc w:val="both"/>
        <w:rPr>
          <w:highlight w:val="none"/>
        </w:rPr>
      </w:pPr>
      <w:r>
        <w:rPr>
          <w:rFonts w:ascii="仿宋_GB2312" w:hAnsi="仿宋_GB2312" w:eastAsia="仿宋_GB2312" w:cs="仿宋_GB2312"/>
          <w:sz w:val="21"/>
          <w:highlight w:val="none"/>
        </w:rPr>
        <w:t>12.2采购人授权的业务监督部门有权根据其他使用部门对中标人服务中存在的质量投诉问题扣罚当月服务费，遇采购人使用部门投诉的，经核查属实，中标人每次需支付违约金600元。</w:t>
      </w:r>
    </w:p>
    <w:p w14:paraId="0BFEFE9B">
      <w:pPr>
        <w:pStyle w:val="12"/>
        <w:jc w:val="both"/>
        <w:rPr>
          <w:highlight w:val="none"/>
        </w:rPr>
      </w:pPr>
      <w:r>
        <w:rPr>
          <w:rFonts w:ascii="仿宋_GB2312" w:hAnsi="仿宋_GB2312" w:eastAsia="仿宋_GB2312" w:cs="仿宋_GB2312"/>
          <w:sz w:val="21"/>
          <w:highlight w:val="none"/>
        </w:rPr>
        <w:t>12.3每月考核及书面投诉产生的违约金等费用均在当月服务费中进行抵扣，中标人应根据采购人的要求开具相应金额的服务费增值税普通发票。</w:t>
      </w:r>
    </w:p>
    <w:p w14:paraId="56F76E1D">
      <w:pPr>
        <w:pStyle w:val="12"/>
        <w:jc w:val="both"/>
        <w:rPr>
          <w:highlight w:val="none"/>
        </w:rPr>
      </w:pPr>
      <w:r>
        <w:rPr>
          <w:rFonts w:ascii="仿宋_GB2312" w:hAnsi="仿宋_GB2312" w:eastAsia="仿宋_GB2312" w:cs="仿宋_GB2312"/>
          <w:sz w:val="21"/>
          <w:highlight w:val="none"/>
        </w:rPr>
        <w:t>12.4中标人在服务中出现重大质量过错或拒不服从采购人要求的，中标人应向采购人支付违约金5000元/次，采购人有权要求中标人中止服务并整改，同时有权要求中标人支付整改期间采购人产生的全部损失（包括但不限于采购人因此向第三方采购服务所产生的一切费用等）。</w:t>
      </w:r>
    </w:p>
    <w:p w14:paraId="2B86A9F5">
      <w:pPr>
        <w:pStyle w:val="12"/>
        <w:jc w:val="both"/>
        <w:rPr>
          <w:highlight w:val="none"/>
        </w:rPr>
      </w:pPr>
      <w:r>
        <w:rPr>
          <w:rFonts w:ascii="仿宋_GB2312" w:hAnsi="仿宋_GB2312" w:eastAsia="仿宋_GB2312" w:cs="仿宋_GB2312"/>
          <w:sz w:val="21"/>
          <w:highlight w:val="none"/>
        </w:rPr>
        <w:t>12.5对中标人服务质量考评评分在70分以下且考核表评分为满意的占回收份数70%以下，采购人有权利单方面解除合同而无需承担任何责任。</w:t>
      </w:r>
    </w:p>
    <w:p w14:paraId="1CBF97BC">
      <w:pPr>
        <w:pStyle w:val="12"/>
        <w:jc w:val="both"/>
        <w:rPr>
          <w:highlight w:val="none"/>
        </w:rPr>
      </w:pPr>
      <w:r>
        <w:rPr>
          <w:rFonts w:ascii="仿宋_GB2312" w:hAnsi="仿宋_GB2312" w:eastAsia="仿宋_GB2312" w:cs="仿宋_GB2312"/>
          <w:sz w:val="21"/>
          <w:highlight w:val="none"/>
        </w:rPr>
        <w:t>13、廉洁购销条款</w:t>
      </w:r>
    </w:p>
    <w:p w14:paraId="1A2E84CF">
      <w:pPr>
        <w:pStyle w:val="12"/>
        <w:jc w:val="both"/>
        <w:rPr>
          <w:highlight w:val="none"/>
        </w:rPr>
      </w:pPr>
      <w:r>
        <w:rPr>
          <w:rFonts w:ascii="仿宋_GB2312" w:hAnsi="仿宋_GB2312" w:eastAsia="仿宋_GB2312" w:cs="仿宋_GB2312"/>
          <w:sz w:val="21"/>
          <w:highlight w:val="none"/>
        </w:rPr>
        <w:t>13.1中标人承诺与采购人共同建立和维护规范与廉洁的购销环境，承诺不得违反所有与反腐败有关的法律、法规、规章、采购人制度和要求。</w:t>
      </w:r>
    </w:p>
    <w:p w14:paraId="6EE9D613">
      <w:pPr>
        <w:pStyle w:val="12"/>
        <w:jc w:val="both"/>
        <w:rPr>
          <w:highlight w:val="none"/>
        </w:rPr>
      </w:pPr>
      <w:r>
        <w:rPr>
          <w:rFonts w:ascii="仿宋_GB2312" w:hAnsi="仿宋_GB2312" w:eastAsia="仿宋_GB2312" w:cs="仿宋_GB2312"/>
          <w:sz w:val="21"/>
          <w:highlight w:val="none"/>
        </w:rPr>
        <w:t>13.2中标人及其工作人员如违反与采购人签订的《廉洁购销协议》，存在行贿行为的，采购人有权在一定期限内将中标人列入行贿人“黑名单”，作为中标人参加采购人招标采购活动的限制条件；在本项目有效期内，经采购人确认中标人及其工作人员因合同（包括但不限于采购阶段、合同签约、履行期间）被列入采购人行贿人“黑名单”的，采购人有权单方面解除合同，有权中止支付未付款项（如有），且采购人有权要求中标人赔偿采购人因此产生的损失（包括但不限于主张权利所支付的诉讼费、诉讼保全费、律师费、差旅费、直接经济损失等费用），如中标人拒不赔偿的，则采购人有权从相关款项中直接扣除。</w:t>
      </w:r>
    </w:p>
    <w:p w14:paraId="659A503E">
      <w:pPr>
        <w:pStyle w:val="12"/>
        <w:jc w:val="both"/>
        <w:rPr>
          <w:rFonts w:hint="eastAsia" w:ascii="仿宋_GB2312" w:hAnsi="仿宋_GB2312" w:eastAsia="仿宋_GB2312" w:cs="仿宋_GB2312"/>
          <w:sz w:val="21"/>
          <w:highlight w:val="none"/>
          <w:lang w:val="en-US" w:eastAsia="zh-CN"/>
        </w:rPr>
      </w:pPr>
      <w:r>
        <w:rPr>
          <w:rFonts w:ascii="仿宋_GB2312" w:hAnsi="仿宋_GB2312" w:eastAsia="仿宋_GB2312" w:cs="仿宋_GB2312"/>
          <w:sz w:val="21"/>
          <w:highlight w:val="none"/>
        </w:rPr>
        <w:t>14、中标人承担因违法、违规、违约等行为引起的全部经济责任和法律责任，且采购人有权要求中标人赔偿由此受到的全部损失（包括但不限于主张权利所支付的诉讼费、诉讼保全费、律师费、差旅费等费用）。在明确违约责任后，中标人应在接到书面通知书起七天内支付违约金、赔偿金等。如未能在七日内结清，采购人可从应付未付的服务款中直接扣除。再有不足部分，由中标人在收到采购人通知后5个工作日内补足。</w:t>
      </w:r>
    </w:p>
    <w:p w14:paraId="42E368C4">
      <w:pPr>
        <w:pStyle w:val="12"/>
        <w:jc w:val="both"/>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1</w:t>
      </w:r>
      <w:r>
        <w:rPr>
          <w:rFonts w:hint="eastAsia" w:ascii="仿宋_GB2312" w:hAnsi="仿宋_GB2312" w:eastAsia="仿宋_GB2312" w:cs="仿宋_GB2312"/>
          <w:sz w:val="21"/>
          <w:highlight w:val="none"/>
          <w:lang w:val="en-US" w:eastAsia="zh-CN"/>
        </w:rPr>
        <w:t>5</w:t>
      </w:r>
      <w:r>
        <w:rPr>
          <w:rFonts w:hint="eastAsia" w:ascii="仿宋_GB2312" w:hAnsi="仿宋_GB2312" w:eastAsia="仿宋_GB2312" w:cs="仿宋_GB2312"/>
          <w:sz w:val="21"/>
          <w:highlight w:val="none"/>
        </w:rPr>
        <w:t>、任何一方中途单方面违约解除合同或因违约行为被守约方解除合同，违约方应当向守约方支付合同总金额的20%违约金。此外，因发生任何纠纷，违约方均应当承担守约方为解决纠纷、实现债权及所有诉讼活动而支付的法院诉讼费、诉讼保全费、鉴定费、评估费、公证费用、律师费用、旅差费等费用。如果违约金不足以弥补守约方的实际损失，违约方还应当赔偿守约方的实际损失。</w:t>
      </w:r>
    </w:p>
    <w:p w14:paraId="2CB75527">
      <w:pPr>
        <w:pStyle w:val="12"/>
        <w:jc w:val="both"/>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1</w:t>
      </w:r>
      <w:r>
        <w:rPr>
          <w:rFonts w:hint="eastAsia" w:ascii="仿宋_GB2312" w:hAnsi="仿宋_GB2312" w:eastAsia="仿宋_GB2312" w:cs="仿宋_GB2312"/>
          <w:sz w:val="21"/>
          <w:highlight w:val="none"/>
          <w:lang w:val="en-US" w:eastAsia="zh-CN"/>
        </w:rPr>
        <w:t>6</w:t>
      </w:r>
      <w:r>
        <w:rPr>
          <w:rFonts w:hint="eastAsia" w:ascii="仿宋_GB2312" w:hAnsi="仿宋_GB2312" w:eastAsia="仿宋_GB2312" w:cs="仿宋_GB2312"/>
          <w:sz w:val="21"/>
          <w:highlight w:val="none"/>
        </w:rPr>
        <w:t>、</w:t>
      </w:r>
      <w:r>
        <w:rPr>
          <w:rFonts w:hint="eastAsia" w:ascii="仿宋_GB2312" w:hAnsi="仿宋_GB2312" w:eastAsia="仿宋_GB2312" w:cs="仿宋_GB2312"/>
          <w:sz w:val="21"/>
          <w:highlight w:val="none"/>
          <w:lang w:val="en-US" w:eastAsia="zh-CN"/>
        </w:rPr>
        <w:t>中标人</w:t>
      </w:r>
      <w:r>
        <w:rPr>
          <w:rFonts w:hint="eastAsia" w:ascii="仿宋_GB2312" w:hAnsi="仿宋_GB2312" w:eastAsia="仿宋_GB2312" w:cs="仿宋_GB2312"/>
          <w:sz w:val="21"/>
          <w:highlight w:val="none"/>
        </w:rPr>
        <w:t>不按合同约定履约的，</w:t>
      </w:r>
      <w:r>
        <w:rPr>
          <w:rFonts w:hint="eastAsia" w:ascii="仿宋_GB2312" w:hAnsi="仿宋_GB2312" w:eastAsia="仿宋_GB2312" w:cs="仿宋_GB2312"/>
          <w:sz w:val="21"/>
          <w:highlight w:val="none"/>
          <w:lang w:val="en-US" w:eastAsia="zh-CN"/>
        </w:rPr>
        <w:t>采购人</w:t>
      </w:r>
      <w:r>
        <w:rPr>
          <w:rFonts w:hint="eastAsia" w:ascii="仿宋_GB2312" w:hAnsi="仿宋_GB2312" w:eastAsia="仿宋_GB2312" w:cs="仿宋_GB2312"/>
          <w:sz w:val="21"/>
          <w:highlight w:val="none"/>
        </w:rPr>
        <w:t>可以解除采购合同。同时，</w:t>
      </w:r>
      <w:r>
        <w:rPr>
          <w:rFonts w:hint="eastAsia" w:ascii="仿宋_GB2312" w:hAnsi="仿宋_GB2312" w:eastAsia="仿宋_GB2312" w:cs="仿宋_GB2312"/>
          <w:sz w:val="21"/>
          <w:highlight w:val="none"/>
          <w:lang w:val="en-US" w:eastAsia="zh-CN"/>
        </w:rPr>
        <w:t>中标人</w:t>
      </w:r>
      <w:r>
        <w:rPr>
          <w:rFonts w:hint="eastAsia" w:ascii="仿宋_GB2312" w:hAnsi="仿宋_GB2312" w:eastAsia="仿宋_GB2312" w:cs="仿宋_GB2312"/>
          <w:sz w:val="21"/>
          <w:highlight w:val="none"/>
        </w:rPr>
        <w:t>须按以下约定向</w:t>
      </w:r>
      <w:r>
        <w:rPr>
          <w:rFonts w:hint="eastAsia" w:ascii="仿宋_GB2312" w:hAnsi="仿宋_GB2312" w:eastAsia="仿宋_GB2312" w:cs="仿宋_GB2312"/>
          <w:sz w:val="21"/>
          <w:highlight w:val="none"/>
          <w:lang w:val="en-US" w:eastAsia="zh-CN"/>
        </w:rPr>
        <w:t>采购人</w:t>
      </w:r>
      <w:r>
        <w:rPr>
          <w:rFonts w:hint="eastAsia" w:ascii="仿宋_GB2312" w:hAnsi="仿宋_GB2312" w:eastAsia="仿宋_GB2312" w:cs="仿宋_GB2312"/>
          <w:sz w:val="21"/>
          <w:highlight w:val="none"/>
        </w:rPr>
        <w:t>支付违约金：违约方应当向守约方支付合同总金额的20%违约金。</w:t>
      </w:r>
    </w:p>
    <w:p w14:paraId="42347D30">
      <w:pPr>
        <w:pStyle w:val="12"/>
        <w:jc w:val="both"/>
        <w:outlineLvl w:val="2"/>
        <w:rPr>
          <w:highlight w:val="none"/>
        </w:rPr>
      </w:pPr>
      <w:r>
        <w:rPr>
          <w:rFonts w:ascii="仿宋_GB2312" w:hAnsi="仿宋_GB2312" w:eastAsia="仿宋_GB2312" w:cs="仿宋_GB2312"/>
          <w:b/>
          <w:sz w:val="28"/>
          <w:highlight w:val="none"/>
        </w:rPr>
        <w:t>四、其他事项</w:t>
      </w:r>
    </w:p>
    <w:p w14:paraId="6D8D60D3">
      <w:pPr>
        <w:pStyle w:val="12"/>
        <w:ind w:firstLine="480"/>
        <w:jc w:val="both"/>
        <w:rPr>
          <w:highlight w:val="none"/>
        </w:rPr>
      </w:pPr>
      <w:r>
        <w:rPr>
          <w:rFonts w:ascii="仿宋_GB2312" w:hAnsi="仿宋_GB2312" w:eastAsia="仿宋_GB2312" w:cs="仿宋_GB2312"/>
          <w:highlight w:val="none"/>
        </w:rPr>
        <w:t>1、除招标文件另有规定外，若出现有关法律、法规和规章有强制性规定但招标文件未列明的情形，则投标人应按照有关法律、法规和规章强制性规定执行。</w:t>
      </w:r>
    </w:p>
    <w:p w14:paraId="32A8749C">
      <w:pPr>
        <w:pStyle w:val="12"/>
        <w:ind w:firstLine="480"/>
        <w:jc w:val="both"/>
        <w:rPr>
          <w:rFonts w:hint="eastAsia" w:eastAsia="仿宋_GB2312"/>
          <w:highlight w:val="none"/>
          <w:lang w:val="en-US" w:eastAsia="zh-CN"/>
        </w:rPr>
      </w:pPr>
      <w:r>
        <w:rPr>
          <w:rFonts w:ascii="仿宋_GB2312" w:hAnsi="仿宋_GB2312" w:eastAsia="仿宋_GB2312" w:cs="仿宋_GB2312"/>
          <w:highlight w:val="none"/>
        </w:rPr>
        <w:t>2、其他：</w:t>
      </w:r>
    </w:p>
    <w:p w14:paraId="29F667BA">
      <w:pPr>
        <w:pStyle w:val="12"/>
        <w:ind w:firstLine="480"/>
        <w:jc w:val="both"/>
        <w:rPr>
          <w:highlight w:val="none"/>
        </w:rPr>
      </w:pPr>
      <w:r>
        <w:rPr>
          <w:rFonts w:ascii="仿宋_GB2312" w:hAnsi="仿宋_GB2312" w:eastAsia="仿宋_GB2312" w:cs="仿宋_GB2312"/>
          <w:highlight w:val="none"/>
        </w:rPr>
        <w:t>2.1本招标文件未明确的其它约定事项或条款，待采购人与中标人签订合同时，由双方协商订立。 2.2中标公告发布后，采购人有权利根据中标人的投标文件内容至中标人营业场所核对公司情况，核查投入的场地、设备、人员等是否与其投标文件内容一致，如中标人的实际情况与投标文件不符，则视为中标人弄虚作假，采购人将情况上报至监督部门，取消其中标资格，由监督部门对其行为进行核实并处罚。 2.3采购人为中标人提供服务所必须的预留场地(包含水电)，内部设备由中标人自行负责。中标人需因地制宜，对场地进行合理规划利用以满足使用需求。如需对场地进行改造(包含但不限于装修、隔断、隔层)，经采购人审核同意后由中标人自行负责施工(包含履行报批手续及所产生的一切费用)。 2.4合同期满，中标人必须配合采购人招标确认新中标服务公司进场，并做好交接手续后方可撤离。</w:t>
      </w:r>
    </w:p>
    <w:p w14:paraId="0515DC09">
      <w:pPr>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p>
    <w:p w14:paraId="355166EC">
      <w:pPr>
        <w:pStyle w:val="3"/>
        <w:ind w:firstLine="0"/>
        <w:jc w:val="center"/>
        <w:rPr>
          <w:rFonts w:ascii="宋体" w:hAnsi="宋体"/>
          <w:highlight w:val="none"/>
        </w:rPr>
      </w:pPr>
      <w:r>
        <w:rPr>
          <w:rFonts w:hint="eastAsia" w:ascii="宋体" w:hAnsi="宋体"/>
          <w:b/>
          <w:sz w:val="28"/>
          <w:szCs w:val="28"/>
          <w:highlight w:val="none"/>
        </w:rPr>
        <w:br w:type="page"/>
      </w:r>
      <w:r>
        <w:rPr>
          <w:rFonts w:hint="eastAsia" w:ascii="宋体" w:hAnsi="宋体"/>
          <w:b/>
          <w:sz w:val="28"/>
          <w:szCs w:val="28"/>
          <w:highlight w:val="none"/>
        </w:rPr>
        <w:t>一、投标书</w:t>
      </w:r>
    </w:p>
    <w:p w14:paraId="7CE2554A">
      <w:pPr>
        <w:rPr>
          <w:rFonts w:ascii="宋体" w:hAnsi="宋体" w:eastAsia="宋体"/>
          <w:sz w:val="28"/>
          <w:szCs w:val="28"/>
          <w:highlight w:val="none"/>
        </w:rPr>
      </w:pPr>
      <w:r>
        <w:rPr>
          <w:rFonts w:hint="eastAsia" w:ascii="宋体" w:hAnsi="宋体" w:eastAsia="宋体"/>
          <w:sz w:val="28"/>
          <w:szCs w:val="28"/>
          <w:highlight w:val="none"/>
        </w:rPr>
        <w:t>致：福建省肿瘤医院</w:t>
      </w:r>
    </w:p>
    <w:p w14:paraId="00094363">
      <w:pPr>
        <w:rPr>
          <w:rFonts w:ascii="宋体" w:hAnsi="宋体" w:eastAsia="宋体"/>
          <w:sz w:val="28"/>
          <w:szCs w:val="28"/>
          <w:highlight w:val="none"/>
        </w:rPr>
      </w:pPr>
      <w:r>
        <w:rPr>
          <w:rFonts w:hint="eastAsia" w:ascii="宋体" w:hAnsi="宋体" w:eastAsia="宋体"/>
          <w:sz w:val="28"/>
          <w:szCs w:val="28"/>
          <w:highlight w:val="none"/>
        </w:rPr>
        <w:t>1、根据你方项目的投标须知、招标文件等内容，遵照《中华人民共和国招标投标法》等有关规定，经踏勘项目现场和研究上述招标文件的投标须知、条款、数量清单及其他有关文件后，我方愿以人民币（大写）</w:t>
      </w:r>
      <w:r>
        <w:rPr>
          <w:rFonts w:hint="eastAsia" w:ascii="宋体" w:hAnsi="宋体" w:eastAsia="宋体"/>
          <w:b/>
          <w:sz w:val="28"/>
          <w:szCs w:val="28"/>
          <w:highlight w:val="none"/>
          <w:u w:val="single"/>
        </w:rPr>
        <w:t xml:space="preserve">：      </w:t>
      </w:r>
      <w:r>
        <w:rPr>
          <w:rFonts w:hint="eastAsia" w:ascii="宋体" w:hAnsi="宋体" w:eastAsia="宋体"/>
          <w:sz w:val="28"/>
          <w:szCs w:val="28"/>
          <w:highlight w:val="none"/>
          <w:u w:val="single"/>
        </w:rPr>
        <w:t xml:space="preserve">  （小写：           ）</w:t>
      </w:r>
      <w:r>
        <w:rPr>
          <w:rFonts w:hint="eastAsia" w:ascii="宋体" w:hAnsi="宋体" w:eastAsia="宋体"/>
          <w:sz w:val="28"/>
          <w:szCs w:val="28"/>
          <w:highlight w:val="none"/>
        </w:rPr>
        <w:t>的投标报价并按上述条款、标准要求承包上述项目，并承担任何质量缺陷保修责任。</w:t>
      </w:r>
    </w:p>
    <w:p w14:paraId="09FBE4C5">
      <w:pPr>
        <w:ind w:firstLine="532" w:firstLineChars="190"/>
        <w:rPr>
          <w:rFonts w:ascii="宋体" w:hAnsi="宋体" w:eastAsia="宋体"/>
          <w:sz w:val="28"/>
          <w:szCs w:val="28"/>
          <w:highlight w:val="none"/>
        </w:rPr>
      </w:pPr>
      <w:r>
        <w:rPr>
          <w:rFonts w:hint="eastAsia" w:ascii="宋体" w:hAnsi="宋体" w:eastAsia="宋体"/>
          <w:sz w:val="28"/>
          <w:szCs w:val="28"/>
          <w:highlight w:val="none"/>
        </w:rPr>
        <w:t>2、我方已详细审核全部招标文件及有关附件。</w:t>
      </w:r>
    </w:p>
    <w:p w14:paraId="218FBFDE">
      <w:pPr>
        <w:ind w:firstLine="532" w:firstLineChars="190"/>
        <w:rPr>
          <w:rFonts w:ascii="宋体" w:hAnsi="宋体" w:eastAsia="宋体"/>
          <w:sz w:val="28"/>
          <w:szCs w:val="28"/>
          <w:highlight w:val="none"/>
        </w:rPr>
      </w:pPr>
      <w:r>
        <w:rPr>
          <w:rFonts w:hint="eastAsia" w:ascii="宋体" w:hAnsi="宋体" w:eastAsia="宋体"/>
          <w:sz w:val="28"/>
          <w:szCs w:val="28"/>
          <w:highlight w:val="none"/>
        </w:rPr>
        <w:t>3、一旦我方中标，我方保证质量达到</w:t>
      </w:r>
      <w:r>
        <w:rPr>
          <w:rFonts w:hint="eastAsia" w:ascii="宋体" w:hAnsi="宋体" w:eastAsia="宋体"/>
          <w:b/>
          <w:sz w:val="28"/>
          <w:szCs w:val="28"/>
          <w:highlight w:val="none"/>
          <w:u w:val="single"/>
        </w:rPr>
        <w:t>投标须知、投标文件等规定</w:t>
      </w:r>
      <w:r>
        <w:rPr>
          <w:rFonts w:hint="eastAsia" w:ascii="宋体" w:hAnsi="宋体" w:eastAsia="宋体"/>
          <w:sz w:val="28"/>
          <w:szCs w:val="28"/>
          <w:highlight w:val="none"/>
        </w:rPr>
        <w:t>标准。</w:t>
      </w:r>
    </w:p>
    <w:p w14:paraId="5291D61C">
      <w:pPr>
        <w:ind w:firstLine="532" w:firstLineChars="190"/>
        <w:rPr>
          <w:rFonts w:ascii="宋体" w:hAnsi="宋体" w:eastAsia="宋体"/>
          <w:sz w:val="28"/>
          <w:szCs w:val="28"/>
          <w:highlight w:val="none"/>
        </w:rPr>
      </w:pPr>
      <w:r>
        <w:rPr>
          <w:rFonts w:hint="eastAsia" w:ascii="宋体" w:hAnsi="宋体" w:eastAsia="宋体"/>
          <w:sz w:val="28"/>
          <w:szCs w:val="28"/>
          <w:highlight w:val="none"/>
        </w:rPr>
        <w:t>4、我方同意所提交的投标文件在招标文件的投标须知中规定的投标有效期内有效，在此期间内如果中标，我方将受此约束。</w:t>
      </w:r>
    </w:p>
    <w:p w14:paraId="0A3BD07A">
      <w:pPr>
        <w:ind w:firstLine="426"/>
        <w:rPr>
          <w:rFonts w:ascii="宋体" w:hAnsi="宋体" w:eastAsia="宋体"/>
          <w:sz w:val="28"/>
          <w:szCs w:val="28"/>
          <w:highlight w:val="none"/>
        </w:rPr>
      </w:pPr>
      <w:r>
        <w:rPr>
          <w:rFonts w:hint="eastAsia" w:ascii="宋体" w:hAnsi="宋体" w:eastAsia="宋体"/>
          <w:sz w:val="28"/>
          <w:szCs w:val="28"/>
          <w:highlight w:val="none"/>
        </w:rPr>
        <w:t>5、除非另外达成协议并生效，你方的中标通知书和本投标文件将成为约束双方的合同文件的组成部分。</w:t>
      </w:r>
    </w:p>
    <w:p w14:paraId="29D8AD41">
      <w:pPr>
        <w:ind w:firstLine="560" w:firstLineChars="200"/>
        <w:rPr>
          <w:rFonts w:ascii="宋体" w:hAnsi="宋体" w:eastAsia="宋体"/>
          <w:sz w:val="28"/>
          <w:szCs w:val="28"/>
          <w:highlight w:val="none"/>
        </w:rPr>
      </w:pPr>
      <w:r>
        <w:rPr>
          <w:rFonts w:hint="eastAsia" w:ascii="宋体" w:hAnsi="宋体" w:eastAsia="宋体"/>
          <w:sz w:val="28"/>
          <w:szCs w:val="28"/>
          <w:highlight w:val="none"/>
        </w:rPr>
        <w:t>附件：报价清单</w:t>
      </w:r>
    </w:p>
    <w:p w14:paraId="43FB3B9C">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投标人（盖章）： </w:t>
      </w:r>
    </w:p>
    <w:p w14:paraId="040757BB">
      <w:pPr>
        <w:spacing w:line="360" w:lineRule="exact"/>
        <w:rPr>
          <w:rFonts w:ascii="宋体" w:hAnsi="宋体" w:eastAsia="宋体"/>
          <w:sz w:val="28"/>
          <w:szCs w:val="28"/>
          <w:highlight w:val="none"/>
        </w:rPr>
      </w:pPr>
    </w:p>
    <w:p w14:paraId="386A70E8">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单位地址： </w:t>
      </w:r>
    </w:p>
    <w:p w14:paraId="50B7ED0E">
      <w:pPr>
        <w:spacing w:line="360" w:lineRule="exact"/>
        <w:rPr>
          <w:rFonts w:ascii="宋体" w:hAnsi="宋体" w:eastAsia="宋体"/>
          <w:sz w:val="28"/>
          <w:szCs w:val="28"/>
          <w:highlight w:val="none"/>
        </w:rPr>
      </w:pPr>
    </w:p>
    <w:p w14:paraId="71D63C63">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法定代表人（签字或盖章）：</w:t>
      </w:r>
    </w:p>
    <w:p w14:paraId="19E67DDD">
      <w:pPr>
        <w:spacing w:line="360" w:lineRule="exact"/>
        <w:rPr>
          <w:rFonts w:ascii="宋体" w:hAnsi="宋体" w:eastAsia="宋体"/>
          <w:sz w:val="28"/>
          <w:szCs w:val="28"/>
          <w:highlight w:val="none"/>
        </w:rPr>
      </w:pPr>
    </w:p>
    <w:p w14:paraId="7DBF59CF">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邮政编码：         </w:t>
      </w:r>
    </w:p>
    <w:p w14:paraId="54E37D7B">
      <w:pPr>
        <w:spacing w:line="360" w:lineRule="exact"/>
        <w:ind w:firstLine="3220" w:firstLineChars="1150"/>
        <w:rPr>
          <w:rFonts w:ascii="宋体" w:hAnsi="宋体" w:eastAsia="宋体"/>
          <w:sz w:val="28"/>
          <w:szCs w:val="28"/>
          <w:highlight w:val="none"/>
        </w:rPr>
      </w:pPr>
    </w:p>
    <w:p w14:paraId="1B6B2B9B">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电话：       </w:t>
      </w:r>
    </w:p>
    <w:p w14:paraId="30B7482F">
      <w:pPr>
        <w:spacing w:line="360" w:lineRule="exact"/>
        <w:ind w:firstLine="3220" w:firstLineChars="1150"/>
        <w:rPr>
          <w:rFonts w:ascii="宋体" w:hAnsi="宋体" w:eastAsia="宋体"/>
          <w:sz w:val="28"/>
          <w:szCs w:val="28"/>
          <w:highlight w:val="none"/>
        </w:rPr>
      </w:pPr>
    </w:p>
    <w:p w14:paraId="00AB4945">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传真：  </w:t>
      </w:r>
    </w:p>
    <w:p w14:paraId="4323770B">
      <w:pPr>
        <w:spacing w:line="360" w:lineRule="exact"/>
        <w:rPr>
          <w:rFonts w:ascii="宋体" w:hAnsi="宋体" w:eastAsia="宋体"/>
          <w:sz w:val="28"/>
          <w:szCs w:val="28"/>
          <w:highlight w:val="none"/>
        </w:rPr>
      </w:pPr>
    </w:p>
    <w:p w14:paraId="5D77B205">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开户银行名称： </w:t>
      </w:r>
    </w:p>
    <w:p w14:paraId="66ABCCD6">
      <w:pPr>
        <w:spacing w:line="360" w:lineRule="exact"/>
        <w:rPr>
          <w:rFonts w:ascii="宋体" w:hAnsi="宋体" w:eastAsia="宋体"/>
          <w:sz w:val="28"/>
          <w:szCs w:val="28"/>
          <w:highlight w:val="none"/>
        </w:rPr>
      </w:pPr>
    </w:p>
    <w:p w14:paraId="4ABD9369">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开户银行帐号： </w:t>
      </w:r>
    </w:p>
    <w:p w14:paraId="40C86F4C">
      <w:pPr>
        <w:spacing w:line="360" w:lineRule="exact"/>
        <w:rPr>
          <w:rFonts w:ascii="宋体" w:hAnsi="宋体" w:eastAsia="宋体"/>
          <w:sz w:val="28"/>
          <w:szCs w:val="28"/>
          <w:highlight w:val="none"/>
        </w:rPr>
      </w:pPr>
    </w:p>
    <w:p w14:paraId="3589889F">
      <w:pPr>
        <w:spacing w:line="360" w:lineRule="exact"/>
        <w:jc w:val="center"/>
        <w:rPr>
          <w:rFonts w:ascii="宋体" w:hAnsi="宋体" w:eastAsia="宋体"/>
          <w:sz w:val="28"/>
          <w:szCs w:val="28"/>
          <w:highlight w:val="none"/>
        </w:rPr>
      </w:pPr>
      <w:r>
        <w:rPr>
          <w:rFonts w:hint="eastAsia" w:ascii="宋体" w:hAnsi="宋体" w:eastAsia="宋体"/>
          <w:sz w:val="28"/>
          <w:szCs w:val="28"/>
          <w:highlight w:val="none"/>
        </w:rPr>
        <w:t>开户银行地址：</w:t>
      </w:r>
    </w:p>
    <w:p w14:paraId="7E246E86">
      <w:pPr>
        <w:spacing w:line="360" w:lineRule="exact"/>
        <w:rPr>
          <w:rFonts w:ascii="宋体" w:hAnsi="宋体" w:eastAsia="宋体"/>
          <w:sz w:val="28"/>
          <w:szCs w:val="28"/>
          <w:highlight w:val="none"/>
        </w:rPr>
      </w:pPr>
    </w:p>
    <w:p w14:paraId="5329BD0B">
      <w:pPr>
        <w:spacing w:line="360" w:lineRule="exact"/>
        <w:ind w:firstLine="3220" w:firstLineChars="1150"/>
        <w:rPr>
          <w:rFonts w:ascii="宋体" w:hAnsi="宋体" w:eastAsia="宋体"/>
          <w:sz w:val="28"/>
          <w:szCs w:val="28"/>
          <w:highlight w:val="none"/>
        </w:rPr>
      </w:pPr>
      <w:r>
        <w:rPr>
          <w:rFonts w:hint="eastAsia" w:ascii="宋体" w:hAnsi="宋体" w:eastAsia="宋体"/>
          <w:sz w:val="28"/>
          <w:szCs w:val="28"/>
          <w:highlight w:val="none"/>
        </w:rPr>
        <w:t xml:space="preserve">开户银行电话： </w:t>
      </w:r>
    </w:p>
    <w:p w14:paraId="3EE426A4">
      <w:pPr>
        <w:spacing w:line="360" w:lineRule="exact"/>
        <w:ind w:firstLine="600"/>
        <w:rPr>
          <w:rFonts w:ascii="宋体" w:hAnsi="宋体" w:eastAsia="宋体"/>
          <w:sz w:val="28"/>
          <w:szCs w:val="28"/>
          <w:highlight w:val="none"/>
        </w:rPr>
      </w:pPr>
    </w:p>
    <w:p w14:paraId="657533FB">
      <w:pPr>
        <w:spacing w:line="360" w:lineRule="exact"/>
        <w:jc w:val="right"/>
        <w:rPr>
          <w:rFonts w:ascii="宋体" w:hAnsi="宋体" w:eastAsia="宋体"/>
          <w:sz w:val="28"/>
          <w:szCs w:val="28"/>
          <w:highlight w:val="none"/>
        </w:rPr>
      </w:pPr>
      <w:r>
        <w:rPr>
          <w:rFonts w:hint="eastAsia" w:ascii="宋体" w:hAnsi="宋体" w:eastAsia="宋体"/>
          <w:sz w:val="28"/>
          <w:szCs w:val="28"/>
          <w:highlight w:val="none"/>
        </w:rPr>
        <w:t>日期：   年   月    日</w:t>
      </w:r>
    </w:p>
    <w:p w14:paraId="77BC073A">
      <w:pPr>
        <w:rPr>
          <w:rFonts w:ascii="宋体" w:hAnsi="宋体" w:eastAsia="宋体"/>
          <w:sz w:val="28"/>
          <w:szCs w:val="28"/>
          <w:highlight w:val="none"/>
        </w:rPr>
      </w:pPr>
    </w:p>
    <w:p w14:paraId="6FEA18C2">
      <w:pPr>
        <w:rPr>
          <w:rFonts w:ascii="宋体" w:hAnsi="宋体" w:eastAsia="宋体"/>
          <w:sz w:val="28"/>
          <w:szCs w:val="28"/>
          <w:highlight w:val="none"/>
        </w:rPr>
      </w:pPr>
      <w:r>
        <w:rPr>
          <w:rFonts w:hint="eastAsia" w:ascii="宋体" w:hAnsi="宋体" w:eastAsia="宋体"/>
          <w:sz w:val="28"/>
          <w:szCs w:val="28"/>
          <w:highlight w:val="none"/>
        </w:rPr>
        <w:t>附件：投标报价清单</w:t>
      </w:r>
    </w:p>
    <w:p w14:paraId="325A8D7F">
      <w:pPr>
        <w:rPr>
          <w:rFonts w:ascii="宋体" w:hAnsi="宋体" w:eastAsia="宋体"/>
          <w:sz w:val="28"/>
          <w:szCs w:val="28"/>
          <w:highlight w:val="none"/>
        </w:rPr>
      </w:pPr>
    </w:p>
    <w:tbl>
      <w:tblPr>
        <w:tblStyle w:val="8"/>
        <w:tblW w:w="0" w:type="auto"/>
        <w:jc w:val="center"/>
        <w:tblLayout w:type="fixed"/>
        <w:tblCellMar>
          <w:top w:w="0" w:type="dxa"/>
          <w:left w:w="108" w:type="dxa"/>
          <w:bottom w:w="0" w:type="dxa"/>
          <w:right w:w="108" w:type="dxa"/>
        </w:tblCellMar>
      </w:tblPr>
      <w:tblGrid>
        <w:gridCol w:w="629"/>
        <w:gridCol w:w="4399"/>
        <w:gridCol w:w="1417"/>
        <w:gridCol w:w="1440"/>
      </w:tblGrid>
      <w:tr w14:paraId="58C56D71">
        <w:tblPrEx>
          <w:tblCellMar>
            <w:top w:w="0" w:type="dxa"/>
            <w:left w:w="108" w:type="dxa"/>
            <w:bottom w:w="0" w:type="dxa"/>
            <w:right w:w="108" w:type="dxa"/>
          </w:tblCellMar>
        </w:tblPrEx>
        <w:trPr>
          <w:trHeight w:val="784" w:hRule="atLeast"/>
          <w:jc w:val="center"/>
        </w:trPr>
        <w:tc>
          <w:tcPr>
            <w:tcW w:w="629" w:type="dxa"/>
            <w:tcBorders>
              <w:top w:val="single" w:color="auto" w:sz="4" w:space="0"/>
              <w:left w:val="single" w:color="auto" w:sz="4" w:space="0"/>
              <w:bottom w:val="single" w:color="000000" w:sz="4" w:space="0"/>
              <w:right w:val="single" w:color="auto" w:sz="4" w:space="0"/>
            </w:tcBorders>
            <w:shd w:val="clear" w:color="FFFFFF" w:fill="auto"/>
            <w:noWrap w:val="0"/>
            <w:vAlign w:val="center"/>
          </w:tcPr>
          <w:p w14:paraId="67C1A2BA">
            <w:pPr>
              <w:jc w:val="center"/>
              <w:rPr>
                <w:rFonts w:ascii="宋体" w:hAnsi="宋体" w:eastAsia="宋体" w:cs="Arial"/>
                <w:sz w:val="28"/>
                <w:szCs w:val="28"/>
                <w:highlight w:val="none"/>
              </w:rPr>
            </w:pPr>
          </w:p>
        </w:tc>
        <w:tc>
          <w:tcPr>
            <w:tcW w:w="4399" w:type="dxa"/>
            <w:tcBorders>
              <w:top w:val="single" w:color="auto" w:sz="4" w:space="0"/>
              <w:left w:val="single" w:color="000000" w:sz="4" w:space="0"/>
              <w:bottom w:val="single" w:color="000000" w:sz="4" w:space="0"/>
              <w:right w:val="single" w:color="000000" w:sz="4" w:space="0"/>
            </w:tcBorders>
            <w:shd w:val="clear" w:color="FFFFFF" w:fill="auto"/>
            <w:noWrap w:val="0"/>
            <w:vAlign w:val="center"/>
          </w:tcPr>
          <w:p w14:paraId="2CF8E566">
            <w:pPr>
              <w:jc w:val="center"/>
              <w:rPr>
                <w:rFonts w:ascii="宋体" w:hAnsi="宋体" w:eastAsia="宋体" w:cs="Arial"/>
                <w:sz w:val="28"/>
                <w:szCs w:val="28"/>
                <w:highlight w:val="none"/>
              </w:rPr>
            </w:pPr>
          </w:p>
        </w:tc>
        <w:tc>
          <w:tcPr>
            <w:tcW w:w="1417" w:type="dxa"/>
            <w:tcBorders>
              <w:top w:val="single" w:color="auto" w:sz="4" w:space="0"/>
              <w:left w:val="single" w:color="000000" w:sz="4" w:space="0"/>
              <w:bottom w:val="single" w:color="000000" w:sz="4" w:space="0"/>
              <w:right w:val="single" w:color="auto" w:sz="4" w:space="0"/>
            </w:tcBorders>
            <w:shd w:val="clear" w:color="FFFFFF" w:fill="auto"/>
            <w:noWrap w:val="0"/>
            <w:vAlign w:val="center"/>
          </w:tcPr>
          <w:p w14:paraId="66876186">
            <w:pPr>
              <w:jc w:val="center"/>
              <w:rPr>
                <w:rFonts w:ascii="宋体" w:hAnsi="宋体" w:eastAsia="宋体" w:cs="Arial"/>
                <w:sz w:val="28"/>
                <w:szCs w:val="28"/>
                <w:highlight w:val="none"/>
              </w:rPr>
            </w:pPr>
          </w:p>
        </w:tc>
        <w:tc>
          <w:tcPr>
            <w:tcW w:w="1440" w:type="dxa"/>
            <w:tcBorders>
              <w:top w:val="single" w:color="auto" w:sz="4" w:space="0"/>
              <w:left w:val="single" w:color="000000" w:sz="4" w:space="0"/>
              <w:bottom w:val="single" w:color="000000" w:sz="4" w:space="0"/>
              <w:right w:val="single" w:color="auto" w:sz="4" w:space="0"/>
            </w:tcBorders>
            <w:shd w:val="clear" w:color="FFFFFF" w:fill="auto"/>
            <w:noWrap w:val="0"/>
            <w:vAlign w:val="center"/>
          </w:tcPr>
          <w:p w14:paraId="5685DDDA">
            <w:pPr>
              <w:jc w:val="center"/>
              <w:rPr>
                <w:rFonts w:ascii="宋体" w:hAnsi="宋体" w:eastAsia="宋体" w:cs="Arial"/>
                <w:sz w:val="28"/>
                <w:szCs w:val="28"/>
                <w:highlight w:val="none"/>
              </w:rPr>
            </w:pPr>
          </w:p>
        </w:tc>
      </w:tr>
      <w:tr w14:paraId="2E45AC15">
        <w:tblPrEx>
          <w:tblCellMar>
            <w:top w:w="0" w:type="dxa"/>
            <w:left w:w="108" w:type="dxa"/>
            <w:bottom w:w="0" w:type="dxa"/>
            <w:right w:w="108" w:type="dxa"/>
          </w:tblCellMar>
        </w:tblPrEx>
        <w:trPr>
          <w:trHeight w:val="784" w:hRule="atLeast"/>
          <w:jc w:val="center"/>
        </w:trPr>
        <w:tc>
          <w:tcPr>
            <w:tcW w:w="629" w:type="dxa"/>
            <w:tcBorders>
              <w:top w:val="single" w:color="auto" w:sz="4" w:space="0"/>
              <w:left w:val="single" w:color="auto" w:sz="4" w:space="0"/>
              <w:bottom w:val="single" w:color="auto" w:sz="4" w:space="0"/>
              <w:right w:val="single" w:color="auto" w:sz="4" w:space="0"/>
            </w:tcBorders>
            <w:shd w:val="clear" w:color="FFFFFF" w:fill="auto"/>
            <w:noWrap w:val="0"/>
            <w:vAlign w:val="center"/>
          </w:tcPr>
          <w:p w14:paraId="36B30F9D">
            <w:pPr>
              <w:jc w:val="center"/>
              <w:rPr>
                <w:rFonts w:ascii="宋体" w:hAnsi="宋体" w:eastAsia="宋体" w:cs="Arial"/>
                <w:sz w:val="28"/>
                <w:szCs w:val="28"/>
                <w:highlight w:val="none"/>
              </w:rPr>
            </w:pPr>
          </w:p>
        </w:tc>
        <w:tc>
          <w:tcPr>
            <w:tcW w:w="4399" w:type="dxa"/>
            <w:tcBorders>
              <w:top w:val="single" w:color="auto" w:sz="4" w:space="0"/>
              <w:left w:val="single" w:color="000000" w:sz="4" w:space="0"/>
              <w:bottom w:val="single" w:color="auto" w:sz="4" w:space="0"/>
              <w:right w:val="single" w:color="000000" w:sz="4" w:space="0"/>
            </w:tcBorders>
            <w:shd w:val="clear" w:color="FFFFFF" w:fill="auto"/>
            <w:noWrap w:val="0"/>
            <w:vAlign w:val="center"/>
          </w:tcPr>
          <w:p w14:paraId="6284032F">
            <w:pPr>
              <w:pStyle w:val="6"/>
              <w:shd w:val="clear" w:color="auto" w:fill="FFFFFF"/>
              <w:spacing w:line="304" w:lineRule="atLeast"/>
              <w:rPr>
                <w:rFonts w:cs="宋体"/>
                <w:kern w:val="2"/>
                <w:sz w:val="28"/>
                <w:szCs w:val="28"/>
                <w:highlight w:val="none"/>
              </w:rPr>
            </w:pPr>
          </w:p>
        </w:tc>
        <w:tc>
          <w:tcPr>
            <w:tcW w:w="1417" w:type="dxa"/>
            <w:tcBorders>
              <w:top w:val="single" w:color="auto" w:sz="4" w:space="0"/>
              <w:left w:val="single" w:color="000000" w:sz="4" w:space="0"/>
              <w:bottom w:val="single" w:color="auto" w:sz="4" w:space="0"/>
              <w:right w:val="single" w:color="auto" w:sz="4" w:space="0"/>
            </w:tcBorders>
            <w:shd w:val="clear" w:color="FFFFFF" w:fill="auto"/>
            <w:noWrap w:val="0"/>
            <w:vAlign w:val="top"/>
          </w:tcPr>
          <w:p w14:paraId="59F1B676">
            <w:pPr>
              <w:jc w:val="center"/>
              <w:rPr>
                <w:rFonts w:ascii="宋体" w:hAnsi="宋体" w:eastAsia="宋体" w:cs="Arial"/>
                <w:sz w:val="28"/>
                <w:szCs w:val="28"/>
                <w:highlight w:val="none"/>
              </w:rPr>
            </w:pPr>
          </w:p>
        </w:tc>
        <w:tc>
          <w:tcPr>
            <w:tcW w:w="1440" w:type="dxa"/>
            <w:tcBorders>
              <w:top w:val="single" w:color="auto" w:sz="4" w:space="0"/>
              <w:left w:val="single" w:color="000000" w:sz="4" w:space="0"/>
              <w:bottom w:val="single" w:color="auto" w:sz="4" w:space="0"/>
              <w:right w:val="single" w:color="auto" w:sz="4" w:space="0"/>
            </w:tcBorders>
            <w:shd w:val="clear" w:color="FFFFFF" w:fill="auto"/>
            <w:noWrap w:val="0"/>
            <w:vAlign w:val="top"/>
          </w:tcPr>
          <w:p w14:paraId="17F9F751">
            <w:pPr>
              <w:jc w:val="center"/>
              <w:rPr>
                <w:rFonts w:ascii="宋体" w:hAnsi="宋体" w:eastAsia="宋体" w:cs="Arial"/>
                <w:sz w:val="28"/>
                <w:szCs w:val="28"/>
                <w:highlight w:val="none"/>
              </w:rPr>
            </w:pPr>
          </w:p>
        </w:tc>
      </w:tr>
      <w:tr w14:paraId="0F13DDA8">
        <w:tblPrEx>
          <w:tblCellMar>
            <w:top w:w="0" w:type="dxa"/>
            <w:left w:w="108" w:type="dxa"/>
            <w:bottom w:w="0" w:type="dxa"/>
            <w:right w:w="108" w:type="dxa"/>
          </w:tblCellMar>
        </w:tblPrEx>
        <w:trPr>
          <w:trHeight w:val="784" w:hRule="atLeast"/>
          <w:jc w:val="center"/>
        </w:trPr>
        <w:tc>
          <w:tcPr>
            <w:tcW w:w="629" w:type="dxa"/>
            <w:tcBorders>
              <w:top w:val="single" w:color="auto" w:sz="4" w:space="0"/>
              <w:left w:val="single" w:color="auto" w:sz="4" w:space="0"/>
              <w:bottom w:val="single" w:color="auto" w:sz="4" w:space="0"/>
              <w:right w:val="single" w:color="auto" w:sz="4" w:space="0"/>
            </w:tcBorders>
            <w:shd w:val="clear" w:color="FFFFFF" w:fill="auto"/>
            <w:noWrap w:val="0"/>
            <w:vAlign w:val="center"/>
          </w:tcPr>
          <w:p w14:paraId="53BC3096">
            <w:pPr>
              <w:jc w:val="center"/>
              <w:rPr>
                <w:rFonts w:ascii="宋体" w:hAnsi="宋体" w:eastAsia="宋体" w:cs="Arial"/>
                <w:sz w:val="28"/>
                <w:szCs w:val="28"/>
                <w:highlight w:val="none"/>
              </w:rPr>
            </w:pPr>
          </w:p>
        </w:tc>
        <w:tc>
          <w:tcPr>
            <w:tcW w:w="4399" w:type="dxa"/>
            <w:tcBorders>
              <w:top w:val="single" w:color="auto" w:sz="4" w:space="0"/>
              <w:left w:val="single" w:color="000000" w:sz="4" w:space="0"/>
              <w:bottom w:val="single" w:color="auto" w:sz="4" w:space="0"/>
              <w:right w:val="single" w:color="000000" w:sz="4" w:space="0"/>
            </w:tcBorders>
            <w:shd w:val="clear" w:color="FFFFFF" w:fill="auto"/>
            <w:noWrap w:val="0"/>
            <w:vAlign w:val="center"/>
          </w:tcPr>
          <w:p w14:paraId="5E9BC620">
            <w:pPr>
              <w:pStyle w:val="6"/>
              <w:shd w:val="clear" w:color="auto" w:fill="FFFFFF"/>
              <w:spacing w:line="304" w:lineRule="atLeast"/>
              <w:rPr>
                <w:rFonts w:cs="宋体"/>
                <w:kern w:val="2"/>
                <w:sz w:val="28"/>
                <w:szCs w:val="28"/>
                <w:highlight w:val="none"/>
              </w:rPr>
            </w:pPr>
          </w:p>
        </w:tc>
        <w:tc>
          <w:tcPr>
            <w:tcW w:w="1417" w:type="dxa"/>
            <w:tcBorders>
              <w:top w:val="single" w:color="auto" w:sz="4" w:space="0"/>
              <w:left w:val="single" w:color="000000" w:sz="4" w:space="0"/>
              <w:bottom w:val="single" w:color="auto" w:sz="4" w:space="0"/>
              <w:right w:val="single" w:color="auto" w:sz="4" w:space="0"/>
            </w:tcBorders>
            <w:shd w:val="clear" w:color="FFFFFF" w:fill="auto"/>
            <w:noWrap w:val="0"/>
            <w:vAlign w:val="top"/>
          </w:tcPr>
          <w:p w14:paraId="26402C10">
            <w:pPr>
              <w:jc w:val="center"/>
              <w:rPr>
                <w:rFonts w:ascii="宋体" w:hAnsi="宋体" w:eastAsia="宋体" w:cs="Arial"/>
                <w:sz w:val="28"/>
                <w:szCs w:val="28"/>
                <w:highlight w:val="none"/>
              </w:rPr>
            </w:pPr>
          </w:p>
        </w:tc>
        <w:tc>
          <w:tcPr>
            <w:tcW w:w="1440" w:type="dxa"/>
            <w:tcBorders>
              <w:top w:val="single" w:color="auto" w:sz="4" w:space="0"/>
              <w:left w:val="single" w:color="000000" w:sz="4" w:space="0"/>
              <w:bottom w:val="single" w:color="auto" w:sz="4" w:space="0"/>
              <w:right w:val="single" w:color="auto" w:sz="4" w:space="0"/>
            </w:tcBorders>
            <w:shd w:val="clear" w:color="FFFFFF" w:fill="auto"/>
            <w:noWrap w:val="0"/>
            <w:vAlign w:val="top"/>
          </w:tcPr>
          <w:p w14:paraId="5FE7AF6C">
            <w:pPr>
              <w:jc w:val="center"/>
              <w:rPr>
                <w:rFonts w:ascii="宋体" w:hAnsi="宋体" w:eastAsia="宋体" w:cs="Arial"/>
                <w:sz w:val="28"/>
                <w:szCs w:val="28"/>
                <w:highlight w:val="none"/>
              </w:rPr>
            </w:pPr>
          </w:p>
        </w:tc>
      </w:tr>
    </w:tbl>
    <w:p w14:paraId="2DFF622A">
      <w:pPr>
        <w:jc w:val="center"/>
        <w:rPr>
          <w:rFonts w:ascii="宋体" w:hAnsi="宋体" w:eastAsia="宋体"/>
          <w:sz w:val="28"/>
          <w:szCs w:val="28"/>
          <w:highlight w:val="none"/>
        </w:rPr>
      </w:pPr>
    </w:p>
    <w:p w14:paraId="3545712F">
      <w:pPr>
        <w:jc w:val="center"/>
        <w:rPr>
          <w:rFonts w:ascii="宋体" w:hAnsi="宋体" w:eastAsia="宋体"/>
          <w:b/>
          <w:sz w:val="28"/>
          <w:szCs w:val="28"/>
          <w:highlight w:val="none"/>
        </w:rPr>
      </w:pPr>
      <w:r>
        <w:rPr>
          <w:rFonts w:hint="eastAsia" w:ascii="宋体" w:hAnsi="宋体" w:eastAsia="宋体"/>
          <w:b/>
          <w:sz w:val="28"/>
          <w:szCs w:val="28"/>
          <w:highlight w:val="none"/>
        </w:rPr>
        <w:br w:type="page"/>
      </w:r>
      <w:r>
        <w:rPr>
          <w:rFonts w:hint="eastAsia" w:ascii="宋体" w:hAnsi="宋体" w:eastAsia="宋体"/>
          <w:b/>
          <w:sz w:val="28"/>
          <w:szCs w:val="28"/>
          <w:highlight w:val="none"/>
        </w:rPr>
        <w:t>二、投标委托代表人资格证明书</w:t>
      </w:r>
    </w:p>
    <w:p w14:paraId="2C799C1F">
      <w:pPr>
        <w:rPr>
          <w:rFonts w:ascii="宋体" w:hAnsi="宋体" w:eastAsia="宋体"/>
          <w:sz w:val="28"/>
          <w:szCs w:val="28"/>
          <w:highlight w:val="none"/>
        </w:rPr>
      </w:pPr>
    </w:p>
    <w:p w14:paraId="6B4E93E7">
      <w:pPr>
        <w:spacing w:line="360" w:lineRule="auto"/>
        <w:rPr>
          <w:rFonts w:ascii="宋体" w:hAnsi="宋体" w:eastAsia="宋体"/>
          <w:sz w:val="28"/>
          <w:szCs w:val="28"/>
          <w:highlight w:val="none"/>
          <w:u w:val="single"/>
        </w:rPr>
      </w:pPr>
      <w:r>
        <w:rPr>
          <w:rFonts w:hint="eastAsia" w:ascii="宋体" w:hAnsi="宋体" w:eastAsia="宋体"/>
          <w:sz w:val="28"/>
          <w:szCs w:val="28"/>
          <w:highlight w:val="none"/>
        </w:rPr>
        <w:t>单位名称：</w:t>
      </w:r>
    </w:p>
    <w:p w14:paraId="601F2DB1">
      <w:pPr>
        <w:spacing w:line="360" w:lineRule="auto"/>
        <w:rPr>
          <w:rFonts w:ascii="宋体" w:hAnsi="宋体" w:eastAsia="宋体"/>
          <w:sz w:val="28"/>
          <w:szCs w:val="28"/>
          <w:highlight w:val="none"/>
          <w:u w:val="single"/>
        </w:rPr>
      </w:pPr>
      <w:r>
        <w:rPr>
          <w:rFonts w:hint="eastAsia" w:ascii="宋体" w:hAnsi="宋体" w:eastAsia="宋体"/>
          <w:sz w:val="28"/>
          <w:szCs w:val="28"/>
          <w:highlight w:val="none"/>
        </w:rPr>
        <w:t>地址：</w:t>
      </w:r>
    </w:p>
    <w:p w14:paraId="2FE48A87">
      <w:pPr>
        <w:spacing w:line="360" w:lineRule="auto"/>
        <w:rPr>
          <w:rFonts w:ascii="宋体" w:hAnsi="宋体" w:eastAsia="宋体"/>
          <w:sz w:val="28"/>
          <w:szCs w:val="28"/>
          <w:highlight w:val="none"/>
        </w:rPr>
      </w:pPr>
      <w:r>
        <w:rPr>
          <w:rFonts w:hint="eastAsia" w:ascii="宋体" w:hAnsi="宋体" w:eastAsia="宋体"/>
          <w:sz w:val="28"/>
          <w:szCs w:val="28"/>
          <w:highlight w:val="none"/>
        </w:rPr>
        <w:t>姓名：    性别：年龄：  职务：   系委托代表人。为施工、竣工和保修项目，签署上述项目的投标文件、进行合同谈判、签署合同和处理与之有关的一切事务。</w:t>
      </w:r>
    </w:p>
    <w:p w14:paraId="3305CC94">
      <w:pPr>
        <w:spacing w:line="360" w:lineRule="auto"/>
        <w:rPr>
          <w:rFonts w:ascii="宋体" w:hAnsi="宋体" w:eastAsia="宋体"/>
          <w:sz w:val="28"/>
          <w:szCs w:val="28"/>
          <w:highlight w:val="none"/>
        </w:rPr>
      </w:pPr>
    </w:p>
    <w:p w14:paraId="621F6CAF">
      <w:pPr>
        <w:spacing w:line="360" w:lineRule="auto"/>
        <w:ind w:firstLine="5460" w:firstLineChars="1950"/>
        <w:rPr>
          <w:rFonts w:ascii="宋体" w:hAnsi="宋体" w:eastAsia="宋体"/>
          <w:sz w:val="28"/>
          <w:szCs w:val="28"/>
          <w:highlight w:val="none"/>
        </w:rPr>
      </w:pPr>
      <w:r>
        <w:rPr>
          <w:rFonts w:hint="eastAsia" w:ascii="宋体" w:hAnsi="宋体" w:eastAsia="宋体"/>
          <w:sz w:val="28"/>
          <w:szCs w:val="28"/>
          <w:highlight w:val="none"/>
        </w:rPr>
        <w:t xml:space="preserve">投标人（盖章）：   </w:t>
      </w:r>
    </w:p>
    <w:p w14:paraId="09E0FA21">
      <w:pPr>
        <w:spacing w:line="360" w:lineRule="auto"/>
        <w:ind w:firstLine="5740" w:firstLineChars="2050"/>
        <w:rPr>
          <w:rFonts w:ascii="宋体" w:hAnsi="宋体" w:eastAsia="宋体"/>
          <w:sz w:val="28"/>
          <w:szCs w:val="28"/>
          <w:highlight w:val="none"/>
        </w:rPr>
      </w:pPr>
      <w:r>
        <w:rPr>
          <w:rFonts w:hint="eastAsia" w:ascii="宋体" w:hAnsi="宋体" w:eastAsia="宋体"/>
          <w:sz w:val="28"/>
          <w:szCs w:val="28"/>
          <w:highlight w:val="none"/>
        </w:rPr>
        <w:t>年   月  日</w:t>
      </w:r>
    </w:p>
    <w:p w14:paraId="15C382F8">
      <w:pPr>
        <w:jc w:val="center"/>
        <w:rPr>
          <w:rFonts w:ascii="宋体" w:hAnsi="宋体" w:eastAsia="宋体"/>
          <w:b/>
          <w:sz w:val="28"/>
          <w:szCs w:val="28"/>
          <w:highlight w:val="none"/>
        </w:rPr>
      </w:pPr>
    </w:p>
    <w:p w14:paraId="1FE28A5C">
      <w:pPr>
        <w:jc w:val="center"/>
        <w:rPr>
          <w:rFonts w:ascii="宋体" w:hAnsi="宋体" w:eastAsia="宋体"/>
          <w:b/>
          <w:sz w:val="28"/>
          <w:szCs w:val="28"/>
          <w:highlight w:val="none"/>
        </w:rPr>
      </w:pPr>
    </w:p>
    <w:p w14:paraId="1390DF27">
      <w:pPr>
        <w:jc w:val="center"/>
        <w:rPr>
          <w:rFonts w:ascii="宋体" w:hAnsi="宋体" w:eastAsia="宋体"/>
          <w:b/>
          <w:sz w:val="28"/>
          <w:szCs w:val="28"/>
          <w:highlight w:val="none"/>
        </w:rPr>
      </w:pPr>
      <w:r>
        <w:rPr>
          <w:rFonts w:hint="eastAsia" w:ascii="宋体" w:hAnsi="宋体" w:eastAsia="宋体"/>
          <w:b/>
          <w:sz w:val="28"/>
          <w:szCs w:val="28"/>
          <w:highlight w:val="none"/>
        </w:rPr>
        <w:br w:type="page"/>
      </w:r>
      <w:r>
        <w:rPr>
          <w:rFonts w:hint="eastAsia" w:ascii="宋体" w:hAnsi="宋体" w:eastAsia="宋体"/>
          <w:b/>
          <w:sz w:val="28"/>
          <w:szCs w:val="28"/>
          <w:highlight w:val="none"/>
        </w:rPr>
        <w:t>三、投标承诺书</w:t>
      </w:r>
    </w:p>
    <w:p w14:paraId="71633963">
      <w:pPr>
        <w:tabs>
          <w:tab w:val="left" w:pos="5355"/>
        </w:tabs>
        <w:spacing w:before="100" w:beforeAutospacing="1" w:after="100" w:afterAutospacing="1" w:line="480" w:lineRule="auto"/>
        <w:ind w:firstLine="560" w:firstLineChars="200"/>
        <w:rPr>
          <w:rFonts w:ascii="宋体" w:hAnsi="宋体" w:eastAsia="宋体" w:cs="宋体"/>
          <w:bCs/>
          <w:sz w:val="28"/>
          <w:szCs w:val="28"/>
          <w:highlight w:val="none"/>
        </w:rPr>
      </w:pPr>
      <w:r>
        <w:rPr>
          <w:rFonts w:hint="eastAsia" w:ascii="宋体" w:hAnsi="宋体" w:eastAsia="宋体" w:cs="宋体"/>
          <w:bCs/>
          <w:sz w:val="28"/>
          <w:szCs w:val="28"/>
          <w:highlight w:val="none"/>
        </w:rPr>
        <w:t>我司承诺对项目的院内公开招标最终确定的综合评定最优结果表示认可，并承诺不会对福建省肿瘤医院在本项目招标过程中的工作模式以及终止本项目招标的可能提出疑议。</w:t>
      </w:r>
    </w:p>
    <w:p w14:paraId="5B55DB21">
      <w:pPr>
        <w:tabs>
          <w:tab w:val="left" w:pos="5355"/>
        </w:tabs>
        <w:spacing w:before="100" w:beforeAutospacing="1" w:after="100" w:afterAutospacing="1" w:line="480" w:lineRule="auto"/>
        <w:ind w:firstLine="560" w:firstLineChars="200"/>
        <w:rPr>
          <w:rFonts w:ascii="宋体" w:hAnsi="宋体" w:eastAsia="宋体" w:cs="宋体"/>
          <w:sz w:val="28"/>
          <w:szCs w:val="28"/>
          <w:highlight w:val="none"/>
        </w:rPr>
      </w:pPr>
      <w:r>
        <w:rPr>
          <w:rFonts w:hint="eastAsia" w:ascii="宋体" w:hAnsi="宋体" w:eastAsia="宋体" w:cs="宋体"/>
          <w:bCs/>
          <w:sz w:val="28"/>
          <w:szCs w:val="28"/>
          <w:highlight w:val="none"/>
        </w:rPr>
        <w:t>我司承诺本投标所有的相关承诺书、投标文件等都作为本项目合同不可分割的部分，并承诺本项目合同、承诺书、投标书、方案等相关资料中发生歧义、冲突的条款、指标均以福建省肿瘤医院解释或要求为标准。投标人承诺中标后能够完全配合本项目施工的进度开展工作。</w:t>
      </w:r>
    </w:p>
    <w:p w14:paraId="3E315D98">
      <w:pPr>
        <w:tabs>
          <w:tab w:val="left" w:pos="5355"/>
        </w:tabs>
        <w:spacing w:before="100" w:beforeAutospacing="1" w:after="100" w:afterAutospacing="1" w:line="480" w:lineRule="auto"/>
        <w:ind w:firstLine="560" w:firstLineChars="200"/>
        <w:rPr>
          <w:rFonts w:ascii="宋体" w:hAnsi="宋体" w:eastAsia="宋体" w:cs="宋体"/>
          <w:sz w:val="28"/>
          <w:szCs w:val="28"/>
          <w:highlight w:val="none"/>
        </w:rPr>
      </w:pPr>
      <w:r>
        <w:rPr>
          <w:rFonts w:hint="eastAsia" w:ascii="宋体" w:hAnsi="宋体" w:eastAsia="宋体" w:cs="宋体"/>
          <w:bCs/>
          <w:sz w:val="28"/>
          <w:szCs w:val="28"/>
          <w:highlight w:val="none"/>
        </w:rPr>
        <w:t>我司承诺福建省肿瘤医院在授予我司合同时有权利增加补充相关内容。</w:t>
      </w:r>
    </w:p>
    <w:p w14:paraId="58CEEFC9">
      <w:pPr>
        <w:tabs>
          <w:tab w:val="left" w:pos="5355"/>
        </w:tabs>
        <w:spacing w:before="100" w:beforeAutospacing="1" w:after="100" w:afterAutospacing="1" w:line="480" w:lineRule="auto"/>
        <w:rPr>
          <w:rFonts w:ascii="宋体" w:hAnsi="宋体" w:eastAsia="宋体" w:cs="宋体"/>
          <w:sz w:val="28"/>
          <w:szCs w:val="28"/>
          <w:highlight w:val="none"/>
        </w:rPr>
      </w:pPr>
      <w:r>
        <w:rPr>
          <w:rFonts w:hint="eastAsia" w:ascii="宋体" w:hAnsi="宋体" w:eastAsia="宋体" w:cs="宋体"/>
          <w:sz w:val="28"/>
          <w:szCs w:val="28"/>
          <w:highlight w:val="none"/>
        </w:rPr>
        <w:t>投标人名称（全称并加公章）：</w:t>
      </w:r>
    </w:p>
    <w:p w14:paraId="0104E82B">
      <w:pPr>
        <w:tabs>
          <w:tab w:val="left" w:pos="5355"/>
        </w:tabs>
        <w:spacing w:before="100" w:beforeAutospacing="1" w:after="100" w:afterAutospacing="1" w:line="480" w:lineRule="auto"/>
        <w:rPr>
          <w:rFonts w:ascii="宋体" w:hAnsi="宋体" w:eastAsia="宋体" w:cs="宋体"/>
          <w:sz w:val="28"/>
          <w:szCs w:val="28"/>
          <w:highlight w:val="none"/>
        </w:rPr>
      </w:pPr>
      <w:r>
        <w:rPr>
          <w:rFonts w:hint="eastAsia" w:ascii="宋体" w:hAnsi="宋体" w:eastAsia="宋体" w:cs="宋体"/>
          <w:sz w:val="28"/>
          <w:szCs w:val="28"/>
          <w:highlight w:val="none"/>
        </w:rPr>
        <w:t>投标人代表签字：</w:t>
      </w:r>
    </w:p>
    <w:p w14:paraId="0EFBC457">
      <w:pPr>
        <w:tabs>
          <w:tab w:val="left" w:pos="5355"/>
        </w:tabs>
        <w:spacing w:before="100" w:beforeAutospacing="1" w:after="100" w:afterAutospacing="1" w:line="480" w:lineRule="auto"/>
        <w:rPr>
          <w:rFonts w:ascii="宋体" w:hAnsi="宋体" w:eastAsia="宋体"/>
          <w:b/>
          <w:sz w:val="28"/>
          <w:szCs w:val="28"/>
          <w:highlight w:val="none"/>
        </w:rPr>
      </w:pPr>
      <w:r>
        <w:rPr>
          <w:rFonts w:hint="eastAsia" w:ascii="宋体" w:hAnsi="宋体" w:eastAsia="宋体" w:cs="宋体"/>
          <w:sz w:val="28"/>
          <w:szCs w:val="28"/>
          <w:highlight w:val="none"/>
        </w:rPr>
        <w:t>日期：     年    月   日</w:t>
      </w:r>
    </w:p>
    <w:p w14:paraId="04EB7EE5">
      <w:pPr>
        <w:spacing w:line="380" w:lineRule="exact"/>
        <w:rPr>
          <w:rFonts w:ascii="宋体" w:hAnsi="宋体" w:eastAsia="宋体"/>
          <w:sz w:val="28"/>
          <w:szCs w:val="28"/>
          <w:highlight w:val="none"/>
        </w:rPr>
      </w:pPr>
    </w:p>
    <w:p w14:paraId="69B68014">
      <w:pPr>
        <w:spacing w:line="380" w:lineRule="exact"/>
        <w:rPr>
          <w:rFonts w:ascii="宋体" w:hAnsi="宋体" w:eastAsia="宋体"/>
          <w:sz w:val="28"/>
          <w:szCs w:val="28"/>
          <w:highlight w:val="none"/>
        </w:rPr>
      </w:pPr>
    </w:p>
    <w:p w14:paraId="77F830EC">
      <w:pPr>
        <w:spacing w:line="380" w:lineRule="exact"/>
        <w:jc w:val="both"/>
        <w:rPr>
          <w:rFonts w:ascii="宋体" w:hAnsi="宋体" w:eastAsia="宋体"/>
          <w:b/>
          <w:sz w:val="28"/>
          <w:szCs w:val="28"/>
          <w:highlight w:val="none"/>
        </w:rPr>
      </w:pPr>
      <w:r>
        <w:rPr>
          <w:rFonts w:ascii="宋体" w:hAnsi="宋体" w:eastAsia="宋体"/>
          <w:b/>
          <w:sz w:val="28"/>
          <w:szCs w:val="28"/>
          <w:highlight w:val="none"/>
        </w:rPr>
        <w:br w:type="page"/>
      </w:r>
    </w:p>
    <w:p w14:paraId="07B2E465">
      <w:pPr>
        <w:jc w:val="center"/>
        <w:rPr>
          <w:rFonts w:hint="eastAsia" w:ascii="宋体" w:hAnsi="宋体" w:eastAsia="宋体"/>
          <w:b/>
          <w:sz w:val="28"/>
          <w:szCs w:val="28"/>
          <w:highlight w:val="none"/>
        </w:rPr>
      </w:pPr>
      <w:r>
        <w:rPr>
          <w:rFonts w:ascii="宋体" w:hAnsi="宋体" w:eastAsia="宋体"/>
          <w:b/>
          <w:sz w:val="28"/>
          <w:szCs w:val="28"/>
          <w:highlight w:val="none"/>
        </w:rPr>
        <w:t>四、采购供应商资格承诺函</w:t>
      </w:r>
    </w:p>
    <w:p w14:paraId="24D67957">
      <w:pPr>
        <w:pStyle w:val="12"/>
        <w:ind w:firstLine="480"/>
        <w:rPr>
          <w:rFonts w:ascii="宋体" w:hAnsi="宋体" w:eastAsia="宋体" w:cs="宋体"/>
          <w:bCs/>
          <w:highlight w:val="none"/>
        </w:rPr>
      </w:pPr>
      <w:r>
        <w:rPr>
          <w:rFonts w:ascii="宋体" w:hAnsi="宋体" w:eastAsia="宋体" w:cs="宋体"/>
          <w:bCs/>
          <w:highlight w:val="none"/>
        </w:rPr>
        <w:t>致：（采购人或采购代理机构）</w:t>
      </w:r>
    </w:p>
    <w:p w14:paraId="67E227A1">
      <w:pPr>
        <w:pStyle w:val="12"/>
        <w:ind w:firstLine="960"/>
        <w:rPr>
          <w:rFonts w:ascii="宋体" w:hAnsi="宋体" w:eastAsia="宋体" w:cs="宋体"/>
          <w:bCs/>
          <w:highlight w:val="none"/>
        </w:rPr>
      </w:pPr>
      <w:r>
        <w:rPr>
          <w:rFonts w:ascii="宋体" w:hAnsi="宋体" w:eastAsia="宋体" w:cs="宋体"/>
          <w:bCs/>
          <w:highlight w:val="none"/>
        </w:rPr>
        <w:t>单位名称(自然人姓名):</w:t>
      </w:r>
    </w:p>
    <w:p w14:paraId="1E0D7F8F">
      <w:pPr>
        <w:pStyle w:val="12"/>
        <w:ind w:firstLine="960"/>
        <w:rPr>
          <w:rFonts w:ascii="宋体" w:hAnsi="宋体" w:eastAsia="宋体" w:cs="宋体"/>
          <w:bCs/>
          <w:highlight w:val="none"/>
        </w:rPr>
      </w:pPr>
      <w:r>
        <w:rPr>
          <w:rFonts w:ascii="宋体" w:hAnsi="宋体" w:eastAsia="宋体" w:cs="宋体"/>
          <w:bCs/>
          <w:highlight w:val="none"/>
        </w:rPr>
        <w:t>统一社会信用代码(自然人身份证号码):</w:t>
      </w:r>
    </w:p>
    <w:p w14:paraId="29DC7C63">
      <w:pPr>
        <w:pStyle w:val="12"/>
        <w:ind w:firstLine="960"/>
        <w:rPr>
          <w:rFonts w:ascii="宋体" w:hAnsi="宋体" w:eastAsia="宋体" w:cs="宋体"/>
          <w:bCs/>
          <w:highlight w:val="none"/>
        </w:rPr>
      </w:pPr>
      <w:r>
        <w:rPr>
          <w:rFonts w:ascii="宋体" w:hAnsi="宋体" w:eastAsia="宋体" w:cs="宋体"/>
          <w:bCs/>
          <w:highlight w:val="none"/>
        </w:rPr>
        <w:t>法定代表人(负责人):</w:t>
      </w:r>
    </w:p>
    <w:p w14:paraId="24F06BB7">
      <w:pPr>
        <w:pStyle w:val="12"/>
        <w:ind w:firstLine="960"/>
        <w:rPr>
          <w:rFonts w:ascii="宋体" w:hAnsi="宋体" w:eastAsia="宋体" w:cs="宋体"/>
          <w:bCs/>
          <w:highlight w:val="none"/>
        </w:rPr>
      </w:pPr>
      <w:r>
        <w:rPr>
          <w:rFonts w:ascii="宋体" w:hAnsi="宋体" w:eastAsia="宋体" w:cs="宋体"/>
          <w:bCs/>
          <w:highlight w:val="none"/>
        </w:rPr>
        <w:t>联系地址和电话:</w:t>
      </w:r>
    </w:p>
    <w:p w14:paraId="7F28A16C">
      <w:pPr>
        <w:pStyle w:val="12"/>
        <w:ind w:firstLine="480"/>
        <w:rPr>
          <w:rFonts w:ascii="宋体" w:hAnsi="宋体" w:eastAsia="宋体" w:cs="宋体"/>
          <w:bCs/>
          <w:highlight w:val="none"/>
        </w:rPr>
      </w:pPr>
      <w:r>
        <w:rPr>
          <w:rFonts w:ascii="宋体" w:hAnsi="宋体" w:eastAsia="宋体" w:cs="宋体"/>
          <w:bCs/>
          <w:highlight w:val="none"/>
        </w:rPr>
        <w:t>我单位(本人)自愿参加本次政府采购活动，严格遵守《中华人民共和国政府采购法》及相关法律法规，坚守公开、公平公正和诚实信用等原则，依法诚信经营，并郑重承诺:</w:t>
      </w:r>
    </w:p>
    <w:p w14:paraId="5CE7C2BC">
      <w:pPr>
        <w:pStyle w:val="12"/>
        <w:ind w:firstLine="480"/>
        <w:rPr>
          <w:rFonts w:ascii="宋体" w:hAnsi="宋体" w:eastAsia="宋体" w:cs="宋体"/>
          <w:bCs/>
          <w:highlight w:val="none"/>
        </w:rPr>
      </w:pPr>
      <w:r>
        <w:rPr>
          <w:rFonts w:ascii="宋体" w:hAnsi="宋体" w:eastAsia="宋体" w:cs="宋体"/>
          <w:bCs/>
          <w:highlight w:val="none"/>
        </w:rPr>
        <w:t>一、我单位(本人)具备采购文件要求以及《中华人民共和国政府采购法》第二十二条规定的条件:</w:t>
      </w:r>
    </w:p>
    <w:p w14:paraId="11A12DD2">
      <w:pPr>
        <w:pStyle w:val="12"/>
        <w:ind w:firstLine="960"/>
        <w:rPr>
          <w:rFonts w:ascii="宋体" w:hAnsi="宋体" w:eastAsia="宋体" w:cs="宋体"/>
          <w:bCs/>
          <w:highlight w:val="none"/>
        </w:rPr>
      </w:pPr>
      <w:r>
        <w:rPr>
          <w:rFonts w:ascii="宋体" w:hAnsi="宋体" w:eastAsia="宋体" w:cs="宋体"/>
          <w:bCs/>
          <w:highlight w:val="none"/>
        </w:rPr>
        <w:t>1.具有独立承担民事责任的能力;</w:t>
      </w:r>
    </w:p>
    <w:p w14:paraId="2A6786B7">
      <w:pPr>
        <w:pStyle w:val="12"/>
        <w:ind w:firstLine="960"/>
        <w:rPr>
          <w:rFonts w:ascii="宋体" w:hAnsi="宋体" w:eastAsia="宋体" w:cs="宋体"/>
          <w:bCs/>
          <w:highlight w:val="none"/>
        </w:rPr>
      </w:pPr>
      <w:r>
        <w:rPr>
          <w:rFonts w:ascii="宋体" w:hAnsi="宋体" w:eastAsia="宋体" w:cs="宋体"/>
          <w:bCs/>
          <w:highlight w:val="none"/>
        </w:rPr>
        <w:t>2.具有良好的商业信誉和健全的财务会计制度;</w:t>
      </w:r>
    </w:p>
    <w:p w14:paraId="7A7F0C70">
      <w:pPr>
        <w:pStyle w:val="12"/>
        <w:ind w:firstLine="960"/>
        <w:rPr>
          <w:rFonts w:ascii="宋体" w:hAnsi="宋体" w:eastAsia="宋体" w:cs="宋体"/>
          <w:bCs/>
          <w:highlight w:val="none"/>
        </w:rPr>
      </w:pPr>
      <w:r>
        <w:rPr>
          <w:rFonts w:ascii="宋体" w:hAnsi="宋体" w:eastAsia="宋体" w:cs="宋体"/>
          <w:bCs/>
          <w:highlight w:val="none"/>
        </w:rPr>
        <w:t>3.具有履行合同所必需的设备和专业技术能力;</w:t>
      </w:r>
    </w:p>
    <w:p w14:paraId="5DC439D0">
      <w:pPr>
        <w:pStyle w:val="12"/>
        <w:ind w:firstLine="960"/>
        <w:rPr>
          <w:rFonts w:ascii="宋体" w:hAnsi="宋体" w:eastAsia="宋体" w:cs="宋体"/>
          <w:bCs/>
          <w:highlight w:val="none"/>
        </w:rPr>
      </w:pPr>
      <w:r>
        <w:rPr>
          <w:rFonts w:ascii="宋体" w:hAnsi="宋体" w:eastAsia="宋体" w:cs="宋体"/>
          <w:bCs/>
          <w:highlight w:val="none"/>
        </w:rPr>
        <w:t>4.有依法缴纳税收和社会保障资金的良好记录;</w:t>
      </w:r>
    </w:p>
    <w:p w14:paraId="21850092">
      <w:pPr>
        <w:pStyle w:val="12"/>
        <w:ind w:firstLine="960"/>
        <w:rPr>
          <w:rFonts w:ascii="宋体" w:hAnsi="宋体" w:eastAsia="宋体" w:cs="宋体"/>
          <w:bCs/>
          <w:highlight w:val="none"/>
        </w:rPr>
      </w:pPr>
      <w:r>
        <w:rPr>
          <w:rFonts w:ascii="宋体" w:hAnsi="宋体" w:eastAsia="宋体" w:cs="宋体"/>
          <w:bCs/>
          <w:highlight w:val="none"/>
        </w:rPr>
        <w:t>5.参加政府采购活动前三年内，在经营活动中没有重大违法记录；</w:t>
      </w:r>
    </w:p>
    <w:p w14:paraId="644B8A1B">
      <w:pPr>
        <w:pStyle w:val="12"/>
        <w:ind w:firstLine="960"/>
        <w:rPr>
          <w:rFonts w:ascii="宋体" w:hAnsi="宋体" w:eastAsia="宋体" w:cs="宋体"/>
          <w:bCs/>
          <w:highlight w:val="none"/>
        </w:rPr>
      </w:pPr>
      <w:r>
        <w:rPr>
          <w:rFonts w:ascii="宋体" w:hAnsi="宋体" w:eastAsia="宋体" w:cs="宋体"/>
          <w:bCs/>
          <w:highlight w:val="none"/>
        </w:rPr>
        <w:t>6.法律、行政法规规定的其他条件。</w:t>
      </w:r>
    </w:p>
    <w:p w14:paraId="573119B0">
      <w:pPr>
        <w:pStyle w:val="12"/>
        <w:ind w:firstLine="480"/>
        <w:rPr>
          <w:rFonts w:ascii="宋体" w:hAnsi="宋体" w:eastAsia="宋体" w:cs="宋体"/>
          <w:bCs/>
          <w:highlight w:val="none"/>
        </w:rPr>
      </w:pPr>
      <w:r>
        <w:rPr>
          <w:rFonts w:ascii="宋体" w:hAnsi="宋体" w:eastAsia="宋体" w:cs="宋体"/>
          <w:bCs/>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B188F60">
      <w:pPr>
        <w:pStyle w:val="12"/>
        <w:ind w:firstLine="480"/>
        <w:rPr>
          <w:rFonts w:ascii="宋体" w:hAnsi="宋体" w:eastAsia="宋体" w:cs="宋体"/>
          <w:bCs/>
          <w:highlight w:val="none"/>
        </w:rPr>
      </w:pPr>
      <w:r>
        <w:rPr>
          <w:rFonts w:ascii="宋体" w:hAnsi="宋体" w:eastAsia="宋体" w:cs="宋体"/>
          <w:bCs/>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0CF031E">
      <w:pPr>
        <w:pStyle w:val="12"/>
        <w:ind w:firstLine="480"/>
        <w:jc w:val="right"/>
        <w:rPr>
          <w:rFonts w:ascii="宋体" w:hAnsi="宋体" w:eastAsia="宋体" w:cs="宋体"/>
          <w:bCs/>
          <w:highlight w:val="none"/>
        </w:rPr>
      </w:pPr>
      <w:r>
        <w:rPr>
          <w:rFonts w:ascii="宋体" w:hAnsi="宋体" w:eastAsia="宋体" w:cs="宋体"/>
          <w:bCs/>
          <w:highlight w:val="none"/>
        </w:rPr>
        <w:t>供应商：名称(单位公章):</w:t>
      </w:r>
    </w:p>
    <w:p w14:paraId="22021F49">
      <w:pPr>
        <w:pStyle w:val="12"/>
        <w:ind w:firstLine="480"/>
        <w:jc w:val="right"/>
        <w:rPr>
          <w:rFonts w:ascii="宋体" w:hAnsi="宋体" w:eastAsia="宋体" w:cs="宋体"/>
          <w:bCs/>
          <w:highlight w:val="none"/>
        </w:rPr>
      </w:pPr>
      <w:r>
        <w:rPr>
          <w:rFonts w:ascii="宋体" w:hAnsi="宋体" w:eastAsia="宋体" w:cs="宋体"/>
          <w:bCs/>
          <w:highlight w:val="none"/>
        </w:rPr>
        <w:t>日期：　　年　　月　　日</w:t>
      </w:r>
    </w:p>
    <w:p w14:paraId="00A4615E">
      <w:pPr>
        <w:pStyle w:val="12"/>
        <w:ind w:firstLine="480"/>
        <w:rPr>
          <w:rFonts w:ascii="宋体" w:hAnsi="宋体" w:eastAsia="宋体" w:cs="宋体"/>
          <w:bCs/>
          <w:highlight w:val="none"/>
        </w:rPr>
      </w:pPr>
      <w:r>
        <w:rPr>
          <w:rFonts w:ascii="宋体" w:hAnsi="宋体" w:eastAsia="宋体" w:cs="宋体"/>
          <w:bCs/>
          <w:highlight w:val="none"/>
        </w:rPr>
        <w:t>注：</w:t>
      </w:r>
    </w:p>
    <w:p w14:paraId="1CC7D664">
      <w:pPr>
        <w:pStyle w:val="12"/>
        <w:ind w:firstLine="960"/>
        <w:rPr>
          <w:rFonts w:ascii="宋体" w:hAnsi="宋体" w:eastAsia="宋体" w:cs="宋体"/>
          <w:bCs/>
          <w:highlight w:val="none"/>
        </w:rPr>
      </w:pPr>
      <w:r>
        <w:rPr>
          <w:rFonts w:ascii="宋体" w:hAnsi="宋体" w:eastAsia="宋体" w:cs="宋体"/>
          <w:bCs/>
          <w:highlight w:val="none"/>
        </w:rPr>
        <w:t>1.我单位(本人)专指参加政府采购活动的供应商(含自然人)；</w:t>
      </w:r>
    </w:p>
    <w:p w14:paraId="3739BFBC">
      <w:pPr>
        <w:pStyle w:val="12"/>
        <w:ind w:firstLine="960"/>
        <w:rPr>
          <w:rFonts w:ascii="宋体" w:hAnsi="宋体" w:eastAsia="宋体" w:cs="宋体"/>
          <w:bCs/>
          <w:highlight w:val="none"/>
        </w:rPr>
      </w:pPr>
      <w:r>
        <w:rPr>
          <w:rFonts w:ascii="宋体" w:hAnsi="宋体" w:eastAsia="宋体" w:cs="宋体"/>
          <w:bCs/>
          <w:highlight w:val="none"/>
        </w:rPr>
        <w:t>2.资格承诺的供应商应在投标(响应)文件中按此模板提供承诺函，否则，视为未按照招标文件规定提交投标人的资格及资信文件，按资格审查不通过处理。</w:t>
      </w:r>
    </w:p>
    <w:p w14:paraId="22DFC207">
      <w:pPr>
        <w:spacing w:line="380" w:lineRule="exact"/>
        <w:rPr>
          <w:rFonts w:hint="eastAsia" w:ascii="宋体" w:hAnsi="宋体" w:eastAsia="宋体"/>
          <w:sz w:val="28"/>
          <w:szCs w:val="28"/>
          <w:highlight w:val="none"/>
        </w:rPr>
      </w:pPr>
    </w:p>
    <w:p w14:paraId="3FE74929">
      <w:pPr>
        <w:spacing w:line="380" w:lineRule="exact"/>
        <w:ind w:firstLine="560" w:firstLineChars="200"/>
        <w:rPr>
          <w:rFonts w:ascii="宋体" w:hAnsi="宋体" w:eastAsia="宋体"/>
          <w:sz w:val="28"/>
          <w:szCs w:val="28"/>
          <w:highlight w:val="none"/>
        </w:rPr>
      </w:pPr>
    </w:p>
    <w:p w14:paraId="100E8031">
      <w:pPr>
        <w:tabs>
          <w:tab w:val="left" w:pos="1600"/>
        </w:tabs>
        <w:spacing w:line="560" w:lineRule="exact"/>
        <w:ind w:left="330" w:firstLine="240"/>
        <w:jc w:val="center"/>
        <w:rPr>
          <w:rFonts w:ascii="宋体" w:hAnsi="宋体" w:eastAsia="宋体"/>
          <w:b/>
          <w:sz w:val="30"/>
          <w:szCs w:val="30"/>
          <w:highlight w:val="none"/>
        </w:rPr>
      </w:pPr>
      <w:r>
        <w:rPr>
          <w:rFonts w:hint="eastAsia" w:ascii="宋体" w:hAnsi="宋体" w:eastAsia="宋体"/>
          <w:b/>
          <w:sz w:val="30"/>
          <w:szCs w:val="30"/>
          <w:highlight w:val="none"/>
        </w:rPr>
        <w:br w:type="page"/>
      </w:r>
      <w:r>
        <w:rPr>
          <w:rFonts w:hint="eastAsia" w:ascii="宋体" w:hAnsi="宋体" w:eastAsia="宋体"/>
          <w:b/>
          <w:sz w:val="30"/>
          <w:szCs w:val="30"/>
          <w:highlight w:val="none"/>
        </w:rPr>
        <w:t>五、投标人提交的其它材料</w:t>
      </w:r>
    </w:p>
    <w:p w14:paraId="618CFBF3">
      <w:pPr>
        <w:spacing w:line="220" w:lineRule="atLeast"/>
        <w:rPr>
          <w:rFonts w:ascii="宋体" w:hAnsi="宋体" w:eastAsia="宋体"/>
          <w:sz w:val="28"/>
          <w:szCs w:val="28"/>
          <w:highlight w:val="none"/>
        </w:rPr>
      </w:pPr>
    </w:p>
    <w:p w14:paraId="0954E459">
      <w:pPr>
        <w:rPr>
          <w:rFonts w:ascii="宋体" w:hAnsi="宋体" w:eastAsia="宋体"/>
          <w:highlight w:val="none"/>
        </w:rPr>
      </w:pPr>
    </w:p>
    <w:p w14:paraId="6E054D81">
      <w:pPr>
        <w:rPr>
          <w:rFonts w:ascii="宋体" w:hAnsi="宋体" w:eastAsia="宋体"/>
          <w:highlight w:val="none"/>
        </w:rPr>
      </w:pPr>
    </w:p>
    <w:p w14:paraId="695F690C">
      <w:pPr>
        <w:rPr>
          <w:rFonts w:ascii="宋体" w:hAnsi="宋体" w:eastAsia="宋体"/>
          <w:highlight w:val="none"/>
        </w:rPr>
      </w:pPr>
    </w:p>
    <w:p w14:paraId="0A4CFA90">
      <w:pPr>
        <w:rPr>
          <w:rFonts w:ascii="仿宋_GB2312" w:hAnsi="仿宋_GB2312" w:eastAsia="仿宋_GB2312" w:cs="仿宋_GB2312"/>
          <w:b/>
          <w:sz w:val="36"/>
          <w:highlight w:val="none"/>
        </w:rPr>
      </w:pPr>
      <w:r>
        <w:rPr>
          <w:rFonts w:ascii="仿宋_GB2312" w:hAnsi="仿宋_GB2312" w:eastAsia="仿宋_GB2312" w:cs="仿宋_GB2312"/>
          <w:b/>
          <w:sz w:val="36"/>
          <w:highlight w:val="none"/>
        </w:rPr>
        <w:br w:type="page"/>
      </w:r>
    </w:p>
    <w:p w14:paraId="08B62D4A">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1D214"/>
    <w:multiLevelType w:val="singleLevel"/>
    <w:tmpl w:val="9A71D214"/>
    <w:lvl w:ilvl="0" w:tentative="0">
      <w:start w:val="2"/>
      <w:numFmt w:val="decimal"/>
      <w:suff w:val="nothing"/>
      <w:lvlText w:val="%1、"/>
      <w:lvlJc w:val="left"/>
    </w:lvl>
  </w:abstractNum>
  <w:abstractNum w:abstractNumId="1">
    <w:nsid w:val="46050130"/>
    <w:multiLevelType w:val="multilevel"/>
    <w:tmpl w:val="46050130"/>
    <w:lvl w:ilvl="0" w:tentative="0">
      <w:start w:val="1"/>
      <w:numFmt w:val="decimal"/>
      <w:lvlText w:val="%1."/>
      <w:lvlJc w:val="left"/>
      <w:pPr>
        <w:ind w:left="704"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6A3D01F7"/>
    <w:multiLevelType w:val="multilevel"/>
    <w:tmpl w:val="6A3D01F7"/>
    <w:lvl w:ilvl="0" w:tentative="0">
      <w:start w:val="1"/>
      <w:numFmt w:val="decimal"/>
      <w:lvlText w:val="%1."/>
      <w:lvlJc w:val="left"/>
      <w:pPr>
        <w:ind w:left="810" w:hanging="420"/>
      </w:pPr>
    </w:lvl>
    <w:lvl w:ilvl="1" w:tentative="0">
      <w:start w:val="1"/>
      <w:numFmt w:val="lowerLetter"/>
      <w:lvlText w:val="%2)"/>
      <w:lvlJc w:val="left"/>
      <w:pPr>
        <w:ind w:left="1230" w:hanging="420"/>
      </w:pPr>
    </w:lvl>
    <w:lvl w:ilvl="2" w:tentative="0">
      <w:start w:val="1"/>
      <w:numFmt w:val="lowerRoman"/>
      <w:lvlText w:val="%3."/>
      <w:lvlJc w:val="right"/>
      <w:pPr>
        <w:ind w:left="1650" w:hanging="420"/>
      </w:pPr>
    </w:lvl>
    <w:lvl w:ilvl="3" w:tentative="0">
      <w:start w:val="1"/>
      <w:numFmt w:val="decimal"/>
      <w:lvlText w:val="%4."/>
      <w:lvlJc w:val="left"/>
      <w:pPr>
        <w:ind w:left="2070" w:hanging="420"/>
      </w:pPr>
    </w:lvl>
    <w:lvl w:ilvl="4" w:tentative="0">
      <w:start w:val="1"/>
      <w:numFmt w:val="lowerLetter"/>
      <w:lvlText w:val="%5)"/>
      <w:lvlJc w:val="left"/>
      <w:pPr>
        <w:ind w:left="2490" w:hanging="420"/>
      </w:pPr>
    </w:lvl>
    <w:lvl w:ilvl="5" w:tentative="0">
      <w:start w:val="1"/>
      <w:numFmt w:val="lowerRoman"/>
      <w:lvlText w:val="%6."/>
      <w:lvlJc w:val="right"/>
      <w:pPr>
        <w:ind w:left="2910" w:hanging="420"/>
      </w:pPr>
    </w:lvl>
    <w:lvl w:ilvl="6" w:tentative="0">
      <w:start w:val="1"/>
      <w:numFmt w:val="decimal"/>
      <w:lvlText w:val="%7."/>
      <w:lvlJc w:val="left"/>
      <w:pPr>
        <w:ind w:left="3330" w:hanging="420"/>
      </w:pPr>
    </w:lvl>
    <w:lvl w:ilvl="7" w:tentative="0">
      <w:start w:val="1"/>
      <w:numFmt w:val="lowerLetter"/>
      <w:lvlText w:val="%8)"/>
      <w:lvlJc w:val="left"/>
      <w:pPr>
        <w:ind w:left="3750" w:hanging="420"/>
      </w:pPr>
    </w:lvl>
    <w:lvl w:ilvl="8" w:tentative="0">
      <w:start w:val="1"/>
      <w:numFmt w:val="lowerRoman"/>
      <w:lvlText w:val="%9."/>
      <w:lvlJc w:val="right"/>
      <w:pPr>
        <w:ind w:left="417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027A9"/>
    <w:rsid w:val="1CCB13D0"/>
    <w:rsid w:val="3CF15A73"/>
    <w:rsid w:val="567C513D"/>
    <w:rsid w:val="6D370D3E"/>
    <w:rsid w:val="76AA519B"/>
    <w:rsid w:val="77D033E7"/>
    <w:rsid w:val="7C840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snapToGrid/>
      <w:spacing w:after="0"/>
      <w:ind w:firstLine="420"/>
    </w:pPr>
    <w:rPr>
      <w:rFonts w:ascii="Times New Roman" w:hAnsi="Times New Roman" w:eastAsia="宋体"/>
      <w:sz w:val="20"/>
      <w:szCs w:val="20"/>
    </w:rPr>
  </w:style>
  <w:style w:type="paragraph" w:styleId="4">
    <w:name w:val="Body Text"/>
    <w:basedOn w:val="1"/>
    <w:unhideWhenUsed/>
    <w:qFormat/>
    <w:uiPriority w:val="99"/>
    <w:pPr>
      <w:spacing w:after="120"/>
    </w:pPr>
  </w:style>
  <w:style w:type="paragraph" w:styleId="5">
    <w:name w:val="Body Text 2"/>
    <w:basedOn w:val="1"/>
    <w:qFormat/>
    <w:uiPriority w:val="0"/>
    <w:pPr>
      <w:spacing w:after="120" w:line="480" w:lineRule="auto"/>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宋体" w:hAnsi="宋体" w:eastAsia="宋体"/>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null3"/>
    <w:hidden/>
    <w:qFormat/>
    <w:uiPriority w:val="0"/>
    <w:rPr>
      <w:rFonts w:hint="eastAsia" w:asciiTheme="minorHAnsi" w:hAnsiTheme="minorHAnsi" w:eastAsiaTheme="minorEastAsia" w:cstheme="minorBidi"/>
      <w:lang w:val="en-US" w:eastAsia="zh-Hans"/>
    </w:rPr>
  </w:style>
  <w:style w:type="paragraph" w:styleId="13">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11521</Words>
  <Characters>11970</Characters>
  <Lines>0</Lines>
  <Paragraphs>0</Paragraphs>
  <TotalTime>145</TotalTime>
  <ScaleCrop>false</ScaleCrop>
  <LinksUpToDate>false</LinksUpToDate>
  <CharactersWithSpaces>12081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2026-09-21T00:12:00Z</dcterms:created>
  <dc:creator>Administrator</dc:creator>
  <cp:lastModifiedBy>秀</cp:lastModifiedBy>
  <dcterms:modified xsi:type="dcterms:W3CDTF">2026-09-24T07:19:27Z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eyJoZGlkIjoiMGQwZjNhZjI0MTEwNDAxMmI2ODI4YThjZGQ0NjZhNTciLCJ1c2VySWQiOiI2OTkzOTc5NDYifQ==</vt:lpwstr>
  </property>
  <property fmtid="{D5CDD505-2E9C-101B-9397-08002B2CF9AE}" pid="4" name="ICV">
    <vt:lpwstr>6222F2206D2344B6A387BDE833536026_13</vt:lpwstr>
  </property>
</Properties>
</file>