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C928B7">
      <w:pPr>
        <w:pStyle w:val="3"/>
        <w:spacing w:before="0" w:after="0" w:line="576" w:lineRule="auto"/>
        <w:jc w:val="center"/>
        <w:rPr>
          <w:rFonts w:hint="eastAsia" w:ascii="方正小标宋简体" w:hAnsi="方正小标宋简体" w:eastAsia="方正小标宋简体" w:cs="方正小标宋简体"/>
          <w:b w:val="0"/>
          <w:color w:val="auto"/>
          <w:kern w:val="2"/>
          <w:sz w:val="44"/>
          <w:szCs w:val="44"/>
        </w:rPr>
      </w:pPr>
      <w:bookmarkStart w:id="0" w:name="_GoBack"/>
      <w:r>
        <w:rPr>
          <w:rFonts w:hint="eastAsia" w:ascii="方正小标宋简体" w:hAnsi="方正小标宋简体" w:eastAsia="方正小标宋简体" w:cs="方正小标宋简体"/>
          <w:b w:val="0"/>
          <w:color w:val="auto"/>
          <w:kern w:val="2"/>
          <w:sz w:val="44"/>
          <w:szCs w:val="44"/>
        </w:rPr>
        <w:t>福建省肿瘤医院</w:t>
      </w:r>
      <w:r>
        <w:rPr>
          <w:rFonts w:hint="eastAsia" w:ascii="方正小标宋简体" w:hAnsi="方正小标宋简体" w:eastAsia="方正小标宋简体" w:cs="方正小标宋简体"/>
          <w:b w:val="0"/>
          <w:color w:val="auto"/>
          <w:kern w:val="2"/>
          <w:sz w:val="44"/>
          <w:szCs w:val="44"/>
          <w:lang w:val="en-US" w:eastAsia="zh-CN"/>
        </w:rPr>
        <w:t>需求调研</w:t>
      </w:r>
      <w:r>
        <w:rPr>
          <w:rFonts w:hint="eastAsia" w:ascii="方正小标宋简体" w:hAnsi="方正小标宋简体" w:eastAsia="方正小标宋简体" w:cs="方正小标宋简体"/>
          <w:b w:val="0"/>
          <w:color w:val="auto"/>
          <w:kern w:val="2"/>
          <w:sz w:val="44"/>
          <w:szCs w:val="44"/>
        </w:rPr>
        <w:t>公告</w:t>
      </w:r>
    </w:p>
    <w:p w14:paraId="2E7B9B6A">
      <w:pPr>
        <w:shd w:val="clear" w:color="auto" w:fill="FFFFFF"/>
        <w:adjustRightInd w:val="0"/>
        <w:snapToGrid w:val="0"/>
        <w:spacing w:before="156" w:beforeLines="50" w:line="590" w:lineRule="exac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shd w:val="clear" w:color="auto" w:fill="FFFFFF"/>
        </w:rPr>
        <w:t>第一部分 须知前附表</w:t>
      </w:r>
    </w:p>
    <w:tbl>
      <w:tblPr>
        <w:tblStyle w:val="17"/>
        <w:tblpPr w:leftFromText="180" w:rightFromText="180" w:vertAnchor="text" w:horzAnchor="page" w:tblpX="1852" w:tblpY="337"/>
        <w:tblOverlap w:val="never"/>
        <w:tblW w:w="8745" w:type="dxa"/>
        <w:tblInd w:w="0" w:type="dxa"/>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Layout w:type="fixed"/>
        <w:tblCellMar>
          <w:top w:w="15" w:type="dxa"/>
          <w:left w:w="15" w:type="dxa"/>
          <w:bottom w:w="15" w:type="dxa"/>
          <w:right w:w="15" w:type="dxa"/>
        </w:tblCellMar>
      </w:tblPr>
      <w:tblGrid>
        <w:gridCol w:w="964"/>
        <w:gridCol w:w="7781"/>
      </w:tblGrid>
      <w:tr w14:paraId="1FE91712">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PrEx>
        <w:trPr>
          <w:trHeight w:val="549" w:hRule="atLeast"/>
        </w:trPr>
        <w:tc>
          <w:tcPr>
            <w:tcW w:w="964" w:type="dxa"/>
            <w:tcBorders>
              <w:top w:val="single" w:color="000000" w:sz="8" w:space="0"/>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705EE59">
            <w:pPr>
              <w:pStyle w:val="15"/>
              <w:widowControl/>
              <w:spacing w:line="360"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序号</w:t>
            </w:r>
          </w:p>
        </w:tc>
        <w:tc>
          <w:tcPr>
            <w:tcW w:w="7781" w:type="dxa"/>
            <w:tcBorders>
              <w:top w:val="single" w:color="000000" w:sz="8" w:space="0"/>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995B90E">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b/>
                <w:color w:val="000000"/>
                <w:sz w:val="32"/>
                <w:szCs w:val="32"/>
              </w:rPr>
              <w:t>主　　　要　　　 内　　　 容</w:t>
            </w:r>
          </w:p>
        </w:tc>
      </w:tr>
      <w:tr w14:paraId="3B30AD9B">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4C26BDDE">
            <w:pPr>
              <w:spacing w:line="315"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4ECD90">
            <w:pPr>
              <w:numPr>
                <w:ilvl w:val="0"/>
                <w:numId w:val="0"/>
              </w:numPr>
              <w:spacing w:line="315"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 xml:space="preserve">医院基础信息系统(HIS)开发及维护服务  </w:t>
            </w:r>
          </w:p>
        </w:tc>
      </w:tr>
      <w:tr w14:paraId="5E1B9B2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444"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5580F829">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4FBD2977">
            <w:pPr>
              <w:spacing w:before="150"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调研报名时间：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19</w:t>
            </w:r>
            <w:r>
              <w:rPr>
                <w:rFonts w:hint="eastAsia" w:ascii="仿宋_GB2312" w:hAnsi="仿宋_GB2312" w:eastAsia="仿宋_GB2312" w:cs="仿宋_GB2312"/>
                <w:color w:val="000000"/>
                <w:sz w:val="32"/>
                <w:szCs w:val="32"/>
              </w:rPr>
              <w:t xml:space="preserve">日至 </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u w:val="single"/>
                <w:lang w:val="en-US" w:eastAsia="zh-CN"/>
              </w:rPr>
              <w:t>25</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pacing w:val="-8"/>
                <w:sz w:val="32"/>
                <w:szCs w:val="32"/>
                <w:shd w:val="clear" w:color="auto" w:fill="FFFFFF"/>
              </w:rPr>
              <w:t>(节假日除外)8：00-12：00或14：</w:t>
            </w:r>
            <w:r>
              <w:rPr>
                <w:rFonts w:hint="eastAsia" w:ascii="仿宋_GB2312" w:hAnsi="仿宋_GB2312" w:eastAsia="仿宋_GB2312" w:cs="仿宋_GB2312"/>
                <w:color w:val="000000"/>
                <w:spacing w:val="-8"/>
                <w:sz w:val="32"/>
                <w:szCs w:val="32"/>
                <w:shd w:val="clear" w:color="auto" w:fill="FFFFFF"/>
                <w:lang w:val="en-US" w:eastAsia="zh-CN"/>
              </w:rPr>
              <w:t>3</w:t>
            </w:r>
            <w:r>
              <w:rPr>
                <w:rFonts w:hint="eastAsia" w:ascii="仿宋_GB2312" w:hAnsi="仿宋_GB2312" w:eastAsia="仿宋_GB2312" w:cs="仿宋_GB2312"/>
                <w:color w:val="000000"/>
                <w:spacing w:val="-8"/>
                <w:sz w:val="32"/>
                <w:szCs w:val="32"/>
                <w:shd w:val="clear" w:color="auto" w:fill="FFFFFF"/>
              </w:rPr>
              <w:t>0-17：30(北京时间）</w:t>
            </w:r>
          </w:p>
          <w:p w14:paraId="26EC9BA4">
            <w:pPr>
              <w:spacing w:line="315" w:lineRule="atLeast"/>
              <w:rPr>
                <w:rFonts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调研会时间： 2026 年</w:t>
            </w:r>
            <w:r>
              <w:rPr>
                <w:rFonts w:hint="eastAsia" w:ascii="仿宋_GB2312" w:hAnsi="仿宋_GB2312" w:eastAsia="仿宋_GB2312" w:cs="仿宋_GB2312"/>
                <w:color w:val="000000"/>
                <w:sz w:val="32"/>
                <w:szCs w:val="32"/>
                <w:u w:val="single"/>
                <w:lang w:val="en-US" w:eastAsia="zh-CN"/>
              </w:rPr>
              <w:t>8</w:t>
            </w:r>
            <w:r>
              <w:rPr>
                <w:rFonts w:hint="eastAsia" w:ascii="仿宋_GB2312" w:hAnsi="仿宋_GB2312" w:eastAsia="仿宋_GB2312" w:cs="仿宋_GB2312"/>
                <w:color w:val="000000"/>
                <w:sz w:val="32"/>
                <w:szCs w:val="32"/>
              </w:rPr>
              <w:t xml:space="preserve">月 </w:t>
            </w:r>
            <w:r>
              <w:rPr>
                <w:rFonts w:hint="eastAsia" w:ascii="仿宋_GB2312" w:hAnsi="仿宋_GB2312" w:eastAsia="仿宋_GB2312" w:cs="仿宋_GB2312"/>
                <w:color w:val="000000"/>
                <w:sz w:val="32"/>
                <w:szCs w:val="32"/>
                <w:u w:val="single"/>
                <w:lang w:val="en-US" w:eastAsia="zh-CN"/>
              </w:rPr>
              <w:t>26</w:t>
            </w:r>
            <w:r>
              <w:rPr>
                <w:rFonts w:hint="eastAsia" w:ascii="仿宋_GB2312" w:hAnsi="仿宋_GB2312" w:eastAsia="仿宋_GB2312" w:cs="仿宋_GB2312"/>
                <w:color w:val="000000"/>
                <w:sz w:val="32"/>
                <w:szCs w:val="32"/>
              </w:rPr>
              <w:t xml:space="preserve">日 </w:t>
            </w:r>
            <w:r>
              <w:rPr>
                <w:rFonts w:hint="eastAsia" w:ascii="仿宋_GB2312" w:hAnsi="仿宋_GB2312" w:eastAsia="仿宋_GB2312" w:cs="仿宋_GB2312"/>
                <w:color w:val="000000"/>
                <w:sz w:val="32"/>
                <w:szCs w:val="32"/>
                <w:lang w:val="en-US" w:eastAsia="zh-CN"/>
              </w:rPr>
              <w:t>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0</w:t>
            </w:r>
          </w:p>
        </w:tc>
      </w:tr>
      <w:tr w14:paraId="6FC167A9">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85"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41BDFF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3</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1C6BD46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文件正本</w:t>
            </w:r>
            <w:r>
              <w:rPr>
                <w:rFonts w:hint="eastAsia" w:ascii="仿宋_GB2312" w:hAnsi="仿宋_GB2312" w:eastAsia="仿宋_GB2312" w:cs="仿宋_GB2312"/>
                <w:bCs/>
                <w:color w:val="000000"/>
                <w:sz w:val="32"/>
                <w:szCs w:val="32"/>
                <w:u w:val="single"/>
              </w:rPr>
              <w:t>壹</w:t>
            </w:r>
            <w:r>
              <w:rPr>
                <w:rFonts w:hint="eastAsia" w:ascii="仿宋_GB2312" w:hAnsi="仿宋_GB2312" w:eastAsia="仿宋_GB2312" w:cs="仿宋_GB2312"/>
                <w:color w:val="000000"/>
                <w:sz w:val="32"/>
                <w:szCs w:val="32"/>
              </w:rPr>
              <w:t>份,副本</w:t>
            </w:r>
            <w:r>
              <w:rPr>
                <w:rFonts w:hint="eastAsia" w:ascii="仿宋_GB2312" w:hAnsi="仿宋_GB2312" w:eastAsia="仿宋_GB2312" w:cs="仿宋_GB2312"/>
                <w:color w:val="000000"/>
                <w:sz w:val="32"/>
                <w:szCs w:val="32"/>
                <w:u w:val="single"/>
                <w:lang w:val="en-US" w:eastAsia="zh-CN"/>
              </w:rPr>
              <w:t>叁</w:t>
            </w:r>
            <w:r>
              <w:rPr>
                <w:rFonts w:hint="eastAsia" w:ascii="仿宋_GB2312" w:hAnsi="仿宋_GB2312" w:eastAsia="仿宋_GB2312" w:cs="仿宋_GB2312"/>
                <w:color w:val="000000"/>
                <w:sz w:val="32"/>
                <w:szCs w:val="32"/>
              </w:rPr>
              <w:t>份胶装并密封加盖投标人公章。文件未胶装将视为无效。</w:t>
            </w:r>
          </w:p>
        </w:tc>
      </w:tr>
      <w:tr w14:paraId="153BF9FD">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69B2A738">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05C5E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文件递交处：福建省肿瘤医院网络技术中心</w:t>
            </w:r>
          </w:p>
        </w:tc>
      </w:tr>
      <w:tr w14:paraId="2ACC1136">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631"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38F22737">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5</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3CD74DAF">
            <w:pPr>
              <w:spacing w:line="315" w:lineRule="atLeas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上述时间、地点如有变动，以单位届时通知为准。</w:t>
            </w:r>
          </w:p>
        </w:tc>
      </w:tr>
      <w:tr w14:paraId="1C4E56BA">
        <w:tblPrEx>
          <w:tblBorders>
            <w:top w:val="single" w:color="000000" w:sz="6" w:space="0"/>
            <w:left w:val="single" w:color="000000" w:sz="6" w:space="0"/>
            <w:bottom w:val="single" w:color="000000" w:sz="6" w:space="0"/>
            <w:right w:val="single" w:color="000000" w:sz="6" w:space="0"/>
            <w:insideH w:val="outset" w:color="auto" w:sz="6" w:space="0"/>
            <w:insideV w:val="outset" w:color="auto" w:sz="6" w:space="0"/>
          </w:tblBorders>
          <w:tblCellMar>
            <w:top w:w="15" w:type="dxa"/>
            <w:left w:w="15" w:type="dxa"/>
            <w:bottom w:w="15" w:type="dxa"/>
            <w:right w:w="15" w:type="dxa"/>
          </w:tblCellMar>
        </w:tblPrEx>
        <w:trPr>
          <w:trHeight w:val="1090" w:hRule="atLeast"/>
        </w:trPr>
        <w:tc>
          <w:tcPr>
            <w:tcW w:w="964" w:type="dxa"/>
            <w:tcBorders>
              <w:top w:val="nil"/>
              <w:left w:val="single" w:color="000000" w:sz="8" w:space="0"/>
              <w:bottom w:val="single" w:color="000000" w:sz="8" w:space="0"/>
              <w:right w:val="single" w:color="000000" w:sz="8" w:space="0"/>
            </w:tcBorders>
            <w:shd w:val="clear" w:color="auto" w:fill="FFFFFF"/>
            <w:tcMar>
              <w:top w:w="0" w:type="dxa"/>
              <w:left w:w="108" w:type="dxa"/>
              <w:bottom w:w="0" w:type="dxa"/>
              <w:right w:w="108" w:type="dxa"/>
            </w:tcMar>
            <w:vAlign w:val="center"/>
          </w:tcPr>
          <w:p w14:paraId="71BD07E6">
            <w:pPr>
              <w:spacing w:line="315" w:lineRule="atLeas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6</w:t>
            </w:r>
          </w:p>
        </w:tc>
        <w:tc>
          <w:tcPr>
            <w:tcW w:w="7781" w:type="dxa"/>
            <w:tcBorders>
              <w:top w:val="nil"/>
              <w:left w:val="nil"/>
              <w:bottom w:val="single" w:color="000000" w:sz="8" w:space="0"/>
              <w:right w:val="single" w:color="000000" w:sz="8" w:space="0"/>
            </w:tcBorders>
            <w:shd w:val="clear" w:color="auto" w:fill="FFFFFF"/>
            <w:tcMar>
              <w:top w:w="0" w:type="dxa"/>
              <w:left w:w="108" w:type="dxa"/>
              <w:bottom w:w="0" w:type="dxa"/>
              <w:right w:w="108" w:type="dxa"/>
            </w:tcMar>
            <w:vAlign w:val="center"/>
          </w:tcPr>
          <w:p w14:paraId="7BE50719">
            <w:pPr>
              <w:shd w:val="clear" w:color="auto" w:fill="FFFFFF"/>
              <w:adjustRightInd w:val="0"/>
              <w:snapToGrid w:val="0"/>
              <w:rPr>
                <w:rFonts w:ascii="仿宋_GB2312" w:hAnsi="仿宋_GB2312" w:eastAsia="仿宋_GB2312" w:cs="仿宋_GB2312"/>
                <w:sz w:val="32"/>
                <w:szCs w:val="32"/>
              </w:rPr>
            </w:pPr>
            <w:r>
              <w:rPr>
                <w:rFonts w:hint="eastAsia" w:ascii="仿宋_GB2312" w:hAnsi="仿宋_GB2312" w:eastAsia="仿宋_GB2312" w:cs="仿宋_GB2312"/>
                <w:bCs/>
                <w:color w:val="000000"/>
                <w:sz w:val="32"/>
                <w:szCs w:val="32"/>
                <w:shd w:val="clear" w:color="auto" w:fill="FFFFFF"/>
              </w:rPr>
              <w:t>采购报名、</w:t>
            </w:r>
            <w:r>
              <w:rPr>
                <w:rFonts w:hint="eastAsia" w:ascii="仿宋_GB2312" w:hAnsi="仿宋_GB2312" w:eastAsia="仿宋_GB2312" w:cs="仿宋_GB2312"/>
                <w:bCs/>
                <w:color w:val="000000"/>
                <w:sz w:val="32"/>
                <w:szCs w:val="32"/>
                <w:shd w:val="clear" w:color="auto" w:fill="FFFFFF"/>
                <w:lang w:eastAsia="zh-CN"/>
              </w:rPr>
              <w:t>需求调研</w:t>
            </w:r>
            <w:r>
              <w:rPr>
                <w:rFonts w:hint="eastAsia" w:ascii="仿宋_GB2312" w:hAnsi="仿宋_GB2312" w:eastAsia="仿宋_GB2312" w:cs="仿宋_GB2312"/>
                <w:bCs/>
                <w:color w:val="000000"/>
                <w:sz w:val="32"/>
                <w:szCs w:val="32"/>
                <w:shd w:val="clear" w:color="auto" w:fill="FFFFFF"/>
              </w:rPr>
              <w:t>等采购过程中有任何异议，可联系我院监督科室。电话：83660063-8407；83660063-8467。</w:t>
            </w:r>
          </w:p>
        </w:tc>
      </w:tr>
    </w:tbl>
    <w:p w14:paraId="0461CECD">
      <w:pPr>
        <w:shd w:val="clear" w:color="auto" w:fill="FFFFFF"/>
        <w:spacing w:line="336" w:lineRule="auto"/>
        <w:rPr>
          <w:rFonts w:ascii="仿宋_GB2312" w:hAnsi="仿宋_GB2312" w:eastAsia="仿宋_GB2312" w:cs="仿宋_GB2312"/>
          <w:bCs/>
          <w:color w:val="000000"/>
          <w:sz w:val="32"/>
          <w:szCs w:val="32"/>
          <w:shd w:val="clear" w:color="auto" w:fill="FFFFFF"/>
        </w:rPr>
      </w:pPr>
    </w:p>
    <w:p w14:paraId="37474EE9">
      <w:pPr>
        <w:shd w:val="clear" w:color="auto" w:fill="FFFFFF"/>
        <w:spacing w:line="336" w:lineRule="auto"/>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 xml:space="preserve">地　址： 福建省福州市福马路420号 </w:t>
      </w:r>
    </w:p>
    <w:p w14:paraId="45AB2293">
      <w:pPr>
        <w:shd w:val="clear" w:color="auto" w:fill="FFFFFF"/>
        <w:spacing w:line="336" w:lineRule="auto"/>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福建省肿瘤医院科研楼四楼网络技术中心</w:t>
      </w:r>
    </w:p>
    <w:p w14:paraId="515A4AC0">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邮　编： 350014　 </w:t>
      </w:r>
    </w:p>
    <w:p w14:paraId="0FF2906E">
      <w:pPr>
        <w:shd w:val="clear" w:color="auto" w:fill="FFFFFF"/>
        <w:spacing w:line="440" w:lineRule="atLeast"/>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shd w:val="clear" w:color="auto" w:fill="FFFFFF"/>
        </w:rPr>
        <w:t>报名联系电话：</w:t>
      </w:r>
      <w:r>
        <w:rPr>
          <w:rFonts w:hint="eastAsia" w:ascii="仿宋_GB2312" w:hAnsi="仿宋_GB2312" w:eastAsia="仿宋_GB2312" w:cs="仿宋_GB2312"/>
          <w:bCs/>
          <w:color w:val="000000"/>
          <w:sz w:val="28"/>
          <w:szCs w:val="28"/>
          <w:shd w:val="clear" w:color="auto" w:fill="FFFFFF"/>
        </w:rPr>
        <w:t xml:space="preserve">0591-62002097、83660063-8822、83660063-8279 </w:t>
      </w:r>
    </w:p>
    <w:p w14:paraId="7BDAB4B6">
      <w:pPr>
        <w:shd w:val="clear" w:color="auto" w:fill="FFFFFF"/>
        <w:spacing w:line="440" w:lineRule="atLeast"/>
        <w:rPr>
          <w:rFonts w:hint="eastAsia" w:ascii="仿宋_GB2312" w:hAnsi="仿宋_GB2312" w:eastAsia="仿宋_GB2312" w:cs="仿宋_GB2312"/>
          <w:bCs/>
          <w:color w:val="000000"/>
          <w:sz w:val="32"/>
          <w:szCs w:val="32"/>
          <w:shd w:val="clear" w:color="auto" w:fill="FFFFFF"/>
          <w:lang w:val="en-US" w:eastAsia="zh-CN"/>
        </w:rPr>
      </w:pPr>
      <w:r>
        <w:rPr>
          <w:rFonts w:hint="eastAsia" w:ascii="仿宋_GB2312" w:hAnsi="仿宋_GB2312" w:eastAsia="仿宋_GB2312" w:cs="仿宋_GB2312"/>
          <w:bCs/>
          <w:color w:val="000000"/>
          <w:sz w:val="32"/>
          <w:szCs w:val="32"/>
          <w:shd w:val="clear" w:color="auto" w:fill="FFFFFF"/>
        </w:rPr>
        <w:t xml:space="preserve">联系人： </w:t>
      </w:r>
      <w:r>
        <w:rPr>
          <w:rFonts w:hint="eastAsia" w:ascii="仿宋_GB2312" w:hAnsi="仿宋_GB2312" w:eastAsia="仿宋_GB2312" w:cs="仿宋_GB2312"/>
          <w:bCs/>
          <w:color w:val="000000"/>
          <w:sz w:val="32"/>
          <w:szCs w:val="32"/>
          <w:shd w:val="clear" w:color="auto" w:fill="FFFFFF"/>
          <w:lang w:val="en-US" w:eastAsia="zh-CN"/>
        </w:rPr>
        <w:t>张工、郑工</w:t>
      </w:r>
    </w:p>
    <w:p w14:paraId="46CC8ADE">
      <w:pPr>
        <w:shd w:val="clear" w:color="auto" w:fill="FFFFFF"/>
        <w:spacing w:line="440" w:lineRule="atLeast"/>
        <w:rPr>
          <w:rFonts w:hint="default" w:ascii="仿宋_GB2312" w:hAnsi="仿宋_GB2312" w:eastAsia="仿宋_GB2312" w:cs="仿宋_GB2312"/>
          <w:bCs/>
          <w:color w:val="000000"/>
          <w:sz w:val="32"/>
          <w:szCs w:val="32"/>
          <w:shd w:val="clear" w:color="auto" w:fill="FFFFFF"/>
          <w:lang w:val="en-US" w:eastAsia="zh-CN"/>
        </w:rPr>
      </w:pPr>
    </w:p>
    <w:p w14:paraId="27DBD21D">
      <w:pPr>
        <w:shd w:val="clear" w:color="auto" w:fill="FFFFFF"/>
        <w:adjustRightInd w:val="0"/>
        <w:snapToGrid w:val="0"/>
        <w:spacing w:before="156" w:beforeLines="50" w:line="590" w:lineRule="exact"/>
        <w:jc w:val="center"/>
      </w:pPr>
      <w:r>
        <w:rPr>
          <w:rFonts w:hint="eastAsia" w:ascii="仿宋_GB2312" w:hAnsi="仿宋_GB2312" w:eastAsia="仿宋_GB2312" w:cs="仿宋_GB2312"/>
          <w:b/>
          <w:color w:val="000000"/>
          <w:sz w:val="32"/>
          <w:szCs w:val="32"/>
          <w:shd w:val="clear" w:color="auto" w:fill="FFFFFF"/>
        </w:rPr>
        <w:t>第二部分 具体要求</w:t>
      </w:r>
    </w:p>
    <w:p w14:paraId="03DEC564">
      <w:pPr>
        <w:numPr>
          <w:ilvl w:val="0"/>
          <w:numId w:val="1"/>
        </w:numPr>
        <w:spacing w:line="360" w:lineRule="auto"/>
        <w:rPr>
          <w:rFonts w:hint="eastAsia"/>
          <w:b/>
          <w:bCs/>
          <w:sz w:val="28"/>
          <w:szCs w:val="28"/>
        </w:rPr>
      </w:pPr>
      <w:r>
        <w:rPr>
          <w:rFonts w:hint="eastAsia"/>
          <w:b/>
          <w:bCs/>
          <w:sz w:val="28"/>
          <w:szCs w:val="28"/>
        </w:rPr>
        <w:t>采购内容</w:t>
      </w:r>
    </w:p>
    <w:tbl>
      <w:tblPr>
        <w:tblStyle w:val="17"/>
        <w:tblW w:w="92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84"/>
        <w:gridCol w:w="4216"/>
        <w:gridCol w:w="1418"/>
        <w:gridCol w:w="1960"/>
      </w:tblGrid>
      <w:tr w14:paraId="48F86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684" w:type="dxa"/>
            <w:vAlign w:val="center"/>
          </w:tcPr>
          <w:p w14:paraId="2E06055D">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2"/>
                <w:sz w:val="28"/>
                <w:szCs w:val="28"/>
              </w:rPr>
            </w:pPr>
            <w:r>
              <w:rPr>
                <w:rFonts w:hint="eastAsia" w:ascii="仿宋_GB2312" w:hAnsi="仿宋_GB2312" w:eastAsia="仿宋_GB2312" w:cs="仿宋_GB2312"/>
                <w:b/>
                <w:color w:val="000000"/>
                <w:kern w:val="0"/>
                <w:sz w:val="28"/>
                <w:szCs w:val="28"/>
              </w:rPr>
              <w:t>合同包</w:t>
            </w:r>
          </w:p>
        </w:tc>
        <w:tc>
          <w:tcPr>
            <w:tcW w:w="4216" w:type="dxa"/>
            <w:vAlign w:val="center"/>
          </w:tcPr>
          <w:p w14:paraId="229BA02E">
            <w:pPr>
              <w:widowControl/>
              <w:snapToGrid w:val="0"/>
              <w:spacing w:after="0" w:line="240" w:lineRule="auto"/>
              <w:ind w:left="0" w:leftChars="0" w:right="0" w:rightChars="0" w:firstLine="0" w:firstLineChars="0"/>
              <w:jc w:val="center"/>
              <w:rPr>
                <w:rFonts w:hint="eastAsia" w:ascii="仿宋_GB2312" w:hAnsi="仿宋_GB2312" w:eastAsia="仿宋_GB2312" w:cs="仿宋_GB2312"/>
                <w:b/>
                <w:kern w:val="0"/>
                <w:sz w:val="28"/>
                <w:szCs w:val="28"/>
              </w:rPr>
            </w:pPr>
            <w:r>
              <w:rPr>
                <w:rFonts w:hint="eastAsia" w:ascii="仿宋_GB2312" w:hAnsi="仿宋_GB2312" w:eastAsia="仿宋_GB2312" w:cs="仿宋_GB2312"/>
                <w:b/>
                <w:color w:val="000000"/>
                <w:kern w:val="0"/>
                <w:sz w:val="28"/>
                <w:szCs w:val="28"/>
              </w:rPr>
              <w:t>名称</w:t>
            </w:r>
          </w:p>
        </w:tc>
        <w:tc>
          <w:tcPr>
            <w:tcW w:w="1418" w:type="dxa"/>
            <w:vAlign w:val="center"/>
          </w:tcPr>
          <w:p w14:paraId="3851294F">
            <w:pPr>
              <w:widowControl/>
              <w:snapToGrid w:val="0"/>
              <w:spacing w:after="0" w:line="240" w:lineRule="auto"/>
              <w:ind w:left="0" w:leftChars="0" w:right="0" w:rightChars="0" w:firstLine="0" w:firstLineChars="0"/>
              <w:jc w:val="center"/>
              <w:rPr>
                <w:rFonts w:hint="default"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数量</w:t>
            </w:r>
          </w:p>
        </w:tc>
        <w:tc>
          <w:tcPr>
            <w:tcW w:w="1960" w:type="dxa"/>
            <w:vAlign w:val="center"/>
          </w:tcPr>
          <w:p w14:paraId="1BC67E17">
            <w:pPr>
              <w:widowControl/>
              <w:snapToGrid w:val="0"/>
              <w:spacing w:after="0" w:line="240" w:lineRule="auto"/>
              <w:ind w:left="0" w:leftChars="0" w:right="0" w:rightChars="0" w:firstLine="0" w:firstLineChars="0"/>
              <w:jc w:val="center"/>
              <w:rPr>
                <w:rFonts w:hint="eastAsia" w:ascii="仿宋_GB2312" w:hAnsi="仿宋_GB2312" w:eastAsia="仿宋_GB2312" w:cs="仿宋_GB2312"/>
                <w:b/>
                <w:color w:val="000000"/>
                <w:kern w:val="0"/>
                <w:sz w:val="28"/>
                <w:szCs w:val="28"/>
                <w:lang w:val="en-US" w:eastAsia="zh-CN"/>
              </w:rPr>
            </w:pPr>
            <w:r>
              <w:rPr>
                <w:rFonts w:hint="eastAsia" w:ascii="仿宋_GB2312" w:hAnsi="仿宋_GB2312" w:eastAsia="仿宋_GB2312" w:cs="仿宋_GB2312"/>
                <w:b/>
                <w:color w:val="000000"/>
                <w:kern w:val="0"/>
                <w:sz w:val="28"/>
                <w:szCs w:val="28"/>
                <w:lang w:val="en-US" w:eastAsia="zh-CN"/>
              </w:rPr>
              <w:t>预算（万元）</w:t>
            </w:r>
          </w:p>
        </w:tc>
      </w:tr>
      <w:tr w14:paraId="455452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684" w:type="dxa"/>
            <w:vAlign w:val="center"/>
          </w:tcPr>
          <w:p w14:paraId="50797CE7">
            <w:pPr>
              <w:widowControl/>
              <w:snapToGrid w:val="0"/>
              <w:spacing w:after="0" w:line="240" w:lineRule="auto"/>
              <w:ind w:left="0" w:leftChars="0" w:right="0" w:rightChars="0" w:firstLine="0" w:firstLineChars="0"/>
              <w:jc w:val="center"/>
              <w:rPr>
                <w:rFonts w:hint="eastAsia" w:ascii="仿宋_GB2312" w:hAnsi="仿宋_GB2312" w:eastAsia="仿宋_GB2312" w:cs="仿宋_GB2312"/>
                <w:kern w:val="2"/>
                <w:sz w:val="32"/>
                <w:szCs w:val="32"/>
              </w:rPr>
            </w:pPr>
            <w:r>
              <w:rPr>
                <w:rFonts w:hint="eastAsia" w:ascii="仿宋_GB2312" w:hAnsi="仿宋_GB2312" w:eastAsia="仿宋_GB2312" w:cs="仿宋_GB2312"/>
                <w:color w:val="000000"/>
                <w:kern w:val="0"/>
                <w:sz w:val="32"/>
                <w:szCs w:val="32"/>
              </w:rPr>
              <w:t>（一）</w:t>
            </w:r>
          </w:p>
        </w:tc>
        <w:tc>
          <w:tcPr>
            <w:tcW w:w="4216" w:type="dxa"/>
            <w:vAlign w:val="center"/>
          </w:tcPr>
          <w:p w14:paraId="4356A65F">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宋体" w:eastAsia="仿宋_GB2312" w:cs="Times New Roman"/>
                <w:kern w:val="2"/>
                <w:sz w:val="32"/>
                <w:szCs w:val="24"/>
                <w:lang w:val="en-US" w:eastAsia="zh-CN" w:bidi="ar-SA"/>
              </w:rPr>
            </w:pPr>
            <w:r>
              <w:rPr>
                <w:rFonts w:hint="eastAsia" w:ascii="仿宋_GB2312" w:hAnsi="仿宋_GB2312" w:eastAsia="仿宋_GB2312" w:cs="仿宋_GB2312"/>
                <w:color w:val="000000"/>
                <w:kern w:val="0"/>
                <w:sz w:val="32"/>
                <w:szCs w:val="32"/>
                <w:lang w:val="en-US" w:eastAsia="zh-CN" w:bidi="ar-SA"/>
              </w:rPr>
              <w:t>医院基础信息系统(HIS)开发及维护服务</w:t>
            </w:r>
          </w:p>
        </w:tc>
        <w:tc>
          <w:tcPr>
            <w:tcW w:w="1418" w:type="dxa"/>
            <w:vAlign w:val="center"/>
          </w:tcPr>
          <w:p w14:paraId="70ED8980">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1项</w:t>
            </w:r>
          </w:p>
        </w:tc>
        <w:tc>
          <w:tcPr>
            <w:tcW w:w="1960" w:type="dxa"/>
            <w:vAlign w:val="center"/>
          </w:tcPr>
          <w:p w14:paraId="12B09591">
            <w:pPr>
              <w:widowControl w:val="0"/>
              <w:numPr>
                <w:ilvl w:val="0"/>
                <w:numId w:val="0"/>
              </w:numPr>
              <w:snapToGrid w:val="0"/>
              <w:spacing w:after="0" w:line="240" w:lineRule="auto"/>
              <w:ind w:left="0" w:leftChars="0" w:right="0" w:rightChars="0" w:firstLine="0" w:firstLineChars="0"/>
              <w:contextualSpacing/>
              <w:jc w:val="center"/>
              <w:rPr>
                <w:rFonts w:hint="default"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400</w:t>
            </w:r>
          </w:p>
        </w:tc>
      </w:tr>
    </w:tbl>
    <w:p w14:paraId="22B9D79D">
      <w:pPr>
        <w:numPr>
          <w:ilvl w:val="0"/>
          <w:numId w:val="0"/>
        </w:numPr>
        <w:spacing w:line="360" w:lineRule="auto"/>
        <w:rPr>
          <w:rFonts w:hint="eastAsia"/>
          <w:b/>
          <w:bCs/>
          <w:sz w:val="28"/>
          <w:szCs w:val="28"/>
        </w:rPr>
      </w:pPr>
      <w:r>
        <w:rPr>
          <w:rFonts w:hint="eastAsia"/>
          <w:b/>
          <w:bCs/>
          <w:sz w:val="28"/>
          <w:szCs w:val="28"/>
        </w:rPr>
        <w:t>二、技术功能及服务要求</w:t>
      </w:r>
    </w:p>
    <w:p w14:paraId="041F6192">
      <w:pPr>
        <w:numPr>
          <w:ilvl w:val="0"/>
          <w:numId w:val="0"/>
        </w:numPr>
        <w:spacing w:line="360" w:lineRule="auto"/>
        <w:rPr>
          <w:rFonts w:hint="eastAsia"/>
          <w:sz w:val="28"/>
          <w:szCs w:val="28"/>
        </w:rPr>
      </w:pPr>
      <w:r>
        <w:rPr>
          <w:rFonts w:hint="eastAsia"/>
          <w:sz w:val="28"/>
          <w:szCs w:val="28"/>
        </w:rPr>
        <w:t>根据医院的发展和工作需要，对我院HIS系统开展升级开发及维护工作。为了保证本院HIS系统开发及维护时间紧迫性要求、原码的保密性要求，且为了确保系统开发的新增功能模块的兼容性和稳定性，确保系统业务流程和业务功能规划的一致性、延续性，要求对开发需求完成度高、工作质量较好、系统稳定性较高,保障医院信息系统（HIS）正常稳定运行。</w:t>
      </w:r>
    </w:p>
    <w:p w14:paraId="7C6829C9">
      <w:pPr>
        <w:numPr>
          <w:ilvl w:val="0"/>
          <w:numId w:val="0"/>
        </w:numPr>
        <w:spacing w:line="360" w:lineRule="auto"/>
        <w:rPr>
          <w:rFonts w:hint="eastAsia"/>
          <w:sz w:val="28"/>
          <w:szCs w:val="28"/>
        </w:rPr>
      </w:pPr>
      <w:r>
        <w:rPr>
          <w:rFonts w:hint="eastAsia"/>
          <w:sz w:val="28"/>
          <w:szCs w:val="28"/>
        </w:rPr>
        <w:t>服务时间： 2026年11月6日到2027年11月5日</w:t>
      </w:r>
    </w:p>
    <w:tbl>
      <w:tblPr>
        <w:tblStyle w:val="17"/>
        <w:tblW w:w="87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078"/>
        <w:gridCol w:w="5790"/>
      </w:tblGrid>
      <w:tr w14:paraId="0508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40" w:type="dxa"/>
            <w:noWrap w:val="0"/>
            <w:vAlign w:val="center"/>
          </w:tcPr>
          <w:p w14:paraId="3A2EE03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2078" w:type="dxa"/>
            <w:noWrap w:val="0"/>
            <w:vAlign w:val="center"/>
          </w:tcPr>
          <w:p w14:paraId="3BD15096">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项目</w:t>
            </w:r>
          </w:p>
        </w:tc>
        <w:tc>
          <w:tcPr>
            <w:tcW w:w="5790" w:type="dxa"/>
            <w:noWrap w:val="0"/>
            <w:vAlign w:val="center"/>
          </w:tcPr>
          <w:p w14:paraId="556487B3">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技术参数要求</w:t>
            </w:r>
          </w:p>
        </w:tc>
      </w:tr>
      <w:tr w14:paraId="697B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2" w:hRule="exact"/>
          <w:jc w:val="center"/>
        </w:trPr>
        <w:tc>
          <w:tcPr>
            <w:tcW w:w="840" w:type="dxa"/>
            <w:noWrap w:val="0"/>
            <w:vAlign w:val="center"/>
          </w:tcPr>
          <w:p w14:paraId="6C0FA3DA">
            <w:pPr>
              <w:widowControl w:val="0"/>
              <w:spacing w:after="160" w:line="278" w:lineRule="auto"/>
              <w:jc w:val="center"/>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1</w:t>
            </w:r>
          </w:p>
        </w:tc>
        <w:tc>
          <w:tcPr>
            <w:tcW w:w="2078" w:type="dxa"/>
            <w:noWrap w:val="0"/>
            <w:vAlign w:val="center"/>
          </w:tcPr>
          <w:p w14:paraId="6234A18D">
            <w:pPr>
              <w:widowControl w:val="0"/>
              <w:spacing w:after="160" w:line="278" w:lineRule="auto"/>
              <w:jc w:val="both"/>
              <w:rPr>
                <w:rFonts w:ascii="仿宋_GB2312" w:hAnsi="仿宋_GB2312" w:eastAsia="仿宋_GB2312" w:cs="仿宋_GB2312"/>
                <w:kern w:val="2"/>
                <w:sz w:val="28"/>
                <w:szCs w:val="28"/>
              </w:rPr>
            </w:pPr>
            <w:r>
              <w:rPr>
                <w:rFonts w:hint="eastAsia" w:ascii="仿宋_GB2312" w:hAnsi="仿宋_GB2312" w:eastAsia="仿宋_GB2312" w:cs="仿宋_GB2312"/>
                <w:color w:val="000000"/>
                <w:kern w:val="2"/>
                <w:sz w:val="28"/>
                <w:szCs w:val="28"/>
              </w:rPr>
              <w:t>医院HIS系统开发及维护服务项目</w:t>
            </w:r>
          </w:p>
        </w:tc>
        <w:tc>
          <w:tcPr>
            <w:tcW w:w="5790" w:type="dxa"/>
            <w:noWrap w:val="0"/>
            <w:vAlign w:val="center"/>
          </w:tcPr>
          <w:p w14:paraId="7628A01A">
            <w:pPr>
              <w:widowControl w:val="0"/>
              <w:spacing w:after="0" w:line="240" w:lineRule="auto"/>
              <w:jc w:val="left"/>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开发及维护服务项目主要功能HIS系统功能、流程新增及修改原则上仅限于医院下述各业务系统，政策性任务必须按照政策要求进度及时限完成，非政策性需求需按照医院规定进度及时限完成。</w:t>
            </w:r>
          </w:p>
        </w:tc>
      </w:tr>
    </w:tbl>
    <w:p w14:paraId="63CDD63A">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5A2E34B5">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当前在用的HIS情况如下表所示：</w:t>
      </w:r>
    </w:p>
    <w:tbl>
      <w:tblPr>
        <w:tblStyle w:val="17"/>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7" w:type="dxa"/>
          <w:left w:w="17" w:type="dxa"/>
          <w:bottom w:w="17" w:type="dxa"/>
          <w:right w:w="17" w:type="dxa"/>
        </w:tblCellMar>
      </w:tblPr>
      <w:tblGrid>
        <w:gridCol w:w="824"/>
        <w:gridCol w:w="1457"/>
        <w:gridCol w:w="2039"/>
        <w:gridCol w:w="4198"/>
      </w:tblGrid>
      <w:tr w14:paraId="09555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3800C4">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序号</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F33EE10">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分类</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6AC0C8F">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系统名称</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ABBD69">
            <w:pPr>
              <w:widowControl w:val="0"/>
              <w:spacing w:after="160" w:line="240" w:lineRule="auto"/>
              <w:jc w:val="center"/>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子功能</w:t>
            </w:r>
          </w:p>
        </w:tc>
      </w:tr>
      <w:tr w14:paraId="5353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72CC352">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ECCE5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297B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66E4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就诊卡申请、充值、欠费管理等；</w:t>
            </w:r>
          </w:p>
        </w:tc>
      </w:tr>
      <w:tr w14:paraId="7AB5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43A138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8B649C">
            <w:pPr>
              <w:widowControl w:val="0"/>
              <w:spacing w:after="160" w:line="240" w:lineRule="auto"/>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BB4D8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E72EB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患者登记、挂号、退号、统计等；</w:t>
            </w:r>
          </w:p>
        </w:tc>
      </w:tr>
      <w:tr w14:paraId="67805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0CCE1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901C4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29304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门诊收费系统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CCA510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收费、退费、收费录入确认、体检结算、就诊卡结算、原路退款等；</w:t>
            </w:r>
          </w:p>
        </w:tc>
      </w:tr>
      <w:tr w14:paraId="4BF15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90F7E2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C07E2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DBA855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门诊票据管理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E1819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发票重打作废、票号修改等；</w:t>
            </w:r>
          </w:p>
        </w:tc>
      </w:tr>
      <w:tr w14:paraId="662D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19D7C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EB88E6">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FD6A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财务报表管理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F050CB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门诊财务报表管理；</w:t>
            </w:r>
          </w:p>
        </w:tc>
      </w:tr>
      <w:tr w14:paraId="0E54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95356E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BE45C5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55273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0C9E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处方开具、检查检验申请、疾病证明书登记、院感上报、传染病上报、不良事件上报、入院申请、查询统计、病人诊疗数据查询等；</w:t>
            </w:r>
          </w:p>
        </w:tc>
      </w:tr>
      <w:tr w14:paraId="7A6F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01F8D6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F1708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C55236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预约挂号系统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560B86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预约登记、查询、统计等；</w:t>
            </w:r>
          </w:p>
        </w:tc>
      </w:tr>
      <w:tr w14:paraId="3BBF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155210">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336FD4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C71B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84654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分诊排队、叫号等；</w:t>
            </w:r>
          </w:p>
        </w:tc>
      </w:tr>
      <w:tr w14:paraId="0818B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BC4125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9</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0B1203">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069D5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386774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检查号源管理，检查申请单预约等；</w:t>
            </w:r>
          </w:p>
        </w:tc>
      </w:tr>
      <w:tr w14:paraId="1B2E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2A5D2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10</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30CA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住院系统部分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ED02C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EA0E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住院入出转、收费、结算、欠费、住院就诊卡、报表、查询统计、原路退款等；</w:t>
            </w:r>
          </w:p>
        </w:tc>
      </w:tr>
      <w:tr w14:paraId="4BEC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678F6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722CCF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EF15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住院医生工作站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F130D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医嘱处理、申请单、检查预约、病案首页、病程记录、院感上报、传染病上报、不良事件上报、就诊记录查询等；</w:t>
            </w:r>
          </w:p>
        </w:tc>
      </w:tr>
      <w:tr w14:paraId="28DF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D9E9A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617ABB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FCF51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病区护士工作站</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29F52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医嘱处理、床位管理、费用查询、催缴、 查询统计、打印、各护理消息等；</w:t>
            </w:r>
          </w:p>
        </w:tc>
      </w:tr>
      <w:tr w14:paraId="3B1C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13558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13</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D2A4A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E725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临床路径系统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E4C0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入径、出径、执行、查询统计等；</w:t>
            </w:r>
          </w:p>
        </w:tc>
      </w:tr>
      <w:tr w14:paraId="6105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9F706">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14</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2C6367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4D35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81100C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发药、退药、出库、入库、库存管理等；</w:t>
            </w:r>
          </w:p>
        </w:tc>
      </w:tr>
      <w:tr w14:paraId="0DD4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E15954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FF0708">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320E1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住院药房系统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6D12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医嘱审核、输液配置、输液卡管理、病区领药、入库、出库、查询统计等；</w:t>
            </w:r>
          </w:p>
        </w:tc>
      </w:tr>
      <w:tr w14:paraId="39C92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1FC334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091BCD">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5FBF9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0F993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药品字典、采购计划、入库、出库、转库、库存管理、调价管理、药品会计、查询统计等；</w:t>
            </w:r>
          </w:p>
        </w:tc>
      </w:tr>
      <w:tr w14:paraId="1421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D9B80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17</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D6CEB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医技管理（门诊及住院）</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C16C0D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医技管理系统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4EA0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检查申请单登记、收费、退费、申请等管理，检查、预约、排班、查询统计等；</w:t>
            </w:r>
          </w:p>
        </w:tc>
      </w:tr>
      <w:tr w14:paraId="4EFC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13DB9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577434B">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7BA9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手术管理系统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EDECC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手术申请、排班、器械申请、查询统计等；</w:t>
            </w:r>
          </w:p>
        </w:tc>
      </w:tr>
      <w:tr w14:paraId="7A72D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A0BACA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19</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0F849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病案首页系统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87A1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在线首页编制</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74497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首页编制进度表，首页编制，首页打印等；</w:t>
            </w:r>
          </w:p>
        </w:tc>
      </w:tr>
      <w:tr w14:paraId="678D2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378B0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20</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400AC9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D7985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在线首页编码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DED38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首页编码进度表，首页编码，首页质量评定等；</w:t>
            </w:r>
          </w:p>
        </w:tc>
      </w:tr>
      <w:tr w14:paraId="0403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B78AD4A">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21</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6EFCE9">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C28C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纸质病案物流</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811BBF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病案病区入出、病案室接收等纸质病案物流管理；</w:t>
            </w:r>
          </w:p>
        </w:tc>
      </w:tr>
      <w:tr w14:paraId="72577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74559A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22</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0B7B6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0ED23B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纸质病案归档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6927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病案室纸质病案归档管理等；</w:t>
            </w:r>
          </w:p>
        </w:tc>
      </w:tr>
      <w:tr w14:paraId="199F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5EF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23</w:t>
            </w:r>
          </w:p>
        </w:tc>
        <w:tc>
          <w:tcPr>
            <w:tcW w:w="1457" w:type="dxa"/>
            <w:vMerge w:val="restar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EA45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医疗质量管理</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59504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医疗质量监测</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88BCF8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患者入出统计管理、申请单质控、危重医嘱质控、单病种质控、手术质量检测、查询统计等；</w:t>
            </w:r>
          </w:p>
        </w:tc>
      </w:tr>
      <w:tr w14:paraId="69A4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47E50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24</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E9FFC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6AC1A36">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医保质控</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A20FA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医保病人结算审批、特殊药品审批、欠费审批、特殊病种备案、特殊用药备案、查询统计等；</w:t>
            </w:r>
          </w:p>
        </w:tc>
      </w:tr>
      <w:tr w14:paraId="04A5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6EDBF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25</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6C95E27">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B8DBC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病例报告</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43C032">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传染病管理、院内感染管理、死亡病例管理；</w:t>
            </w:r>
          </w:p>
        </w:tc>
      </w:tr>
      <w:tr w14:paraId="2973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CFAB9">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26</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85AA4A">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ADE84E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194A2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抗菌药品查询统计；</w:t>
            </w:r>
          </w:p>
        </w:tc>
      </w:tr>
      <w:tr w14:paraId="7322C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A2E75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27</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F33862">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FCA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处方点评</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20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处方抽查、查询统计等；</w:t>
            </w:r>
          </w:p>
        </w:tc>
      </w:tr>
      <w:tr w14:paraId="531F6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76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0A4C06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28</w:t>
            </w:r>
          </w:p>
        </w:tc>
        <w:tc>
          <w:tcPr>
            <w:tcW w:w="1457" w:type="dxa"/>
            <w:vMerge w:val="continue"/>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283655F">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703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医务科管理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15C46A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欠费审批、不良事件报告管理、疾病证明书管理、患者黑名单管理、自备药审批管理、查询统计等；</w:t>
            </w:r>
          </w:p>
        </w:tc>
      </w:tr>
      <w:tr w14:paraId="03F1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7B80B">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29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0E5DDB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基础维护平台</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4B414E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字典管理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BA8FA0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基础数据维护、系统设置等；</w:t>
            </w:r>
          </w:p>
        </w:tc>
      </w:tr>
      <w:tr w14:paraId="1DE1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75"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EB5F07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3BE62BA">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07EEE8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触摸屏系统</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846C1F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检验收费、自助查询等；</w:t>
            </w:r>
          </w:p>
        </w:tc>
      </w:tr>
      <w:tr w14:paraId="50A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435" w:hRule="atLeast"/>
          <w:jc w:val="center"/>
        </w:trPr>
        <w:tc>
          <w:tcPr>
            <w:tcW w:w="824" w:type="dxa"/>
            <w:vMerge w:val="restart"/>
            <w:tcBorders>
              <w:top w:val="single" w:color="auto" w:sz="4" w:space="0"/>
              <w:left w:val="single" w:color="auto" w:sz="4" w:space="0"/>
              <w:bottom w:val="single" w:color="auto" w:sz="4" w:space="0"/>
              <w:right w:val="single" w:color="auto" w:sz="4" w:space="0"/>
            </w:tcBorders>
            <w:noWrap w:val="0"/>
            <w:vAlign w:val="center"/>
          </w:tcPr>
          <w:p w14:paraId="6E61282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31</w:t>
            </w:r>
          </w:p>
        </w:tc>
        <w:tc>
          <w:tcPr>
            <w:tcW w:w="1457" w:type="dxa"/>
            <w:vMerge w:val="restart"/>
            <w:tcBorders>
              <w:top w:val="single" w:color="auto" w:sz="4" w:space="0"/>
              <w:left w:val="single" w:color="auto" w:sz="4" w:space="0"/>
              <w:bottom w:val="single" w:color="auto" w:sz="4" w:space="0"/>
              <w:right w:val="single" w:color="auto" w:sz="4" w:space="0"/>
            </w:tcBorders>
            <w:noWrap w:val="0"/>
            <w:vAlign w:val="center"/>
          </w:tcPr>
          <w:p w14:paraId="56DBE86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行政管后勤系统</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E6EFE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年度预算</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D82C74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预算登记、预算审核、预算汇总；</w:t>
            </w:r>
          </w:p>
        </w:tc>
      </w:tr>
      <w:tr w14:paraId="68550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2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3083CC37">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7B2789FC">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43AB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35DF79">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科室工作需要、工作量上报登记；</w:t>
            </w:r>
          </w:p>
        </w:tc>
      </w:tr>
      <w:tr w14:paraId="109D0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510" w:hRule="atLeast"/>
          <w:jc w:val="center"/>
        </w:trPr>
        <w:tc>
          <w:tcPr>
            <w:tcW w:w="824" w:type="dxa"/>
            <w:vMerge w:val="continue"/>
            <w:tcBorders>
              <w:top w:val="single" w:color="auto" w:sz="4" w:space="0"/>
              <w:left w:val="single" w:color="auto" w:sz="4" w:space="0"/>
              <w:bottom w:val="single" w:color="auto" w:sz="4" w:space="0"/>
              <w:right w:val="single" w:color="auto" w:sz="4" w:space="0"/>
            </w:tcBorders>
            <w:noWrap w:val="0"/>
            <w:vAlign w:val="center"/>
          </w:tcPr>
          <w:p w14:paraId="09DEE82B">
            <w:pPr>
              <w:widowControl w:val="0"/>
              <w:spacing w:after="160" w:line="240" w:lineRule="auto"/>
              <w:jc w:val="center"/>
              <w:rPr>
                <w:rFonts w:hint="eastAsia" w:ascii="仿宋_GB2312" w:hAnsi="仿宋_GB2312" w:eastAsia="仿宋_GB2312" w:cs="仿宋_GB2312"/>
                <w:color w:val="000000"/>
                <w:kern w:val="2"/>
                <w:sz w:val="24"/>
              </w:rPr>
            </w:pPr>
          </w:p>
        </w:tc>
        <w:tc>
          <w:tcPr>
            <w:tcW w:w="1457" w:type="dxa"/>
            <w:vMerge w:val="continue"/>
            <w:tcBorders>
              <w:top w:val="single" w:color="auto" w:sz="4" w:space="0"/>
              <w:left w:val="single" w:color="auto" w:sz="4" w:space="0"/>
              <w:bottom w:val="single" w:color="auto" w:sz="4" w:space="0"/>
              <w:right w:val="single" w:color="auto" w:sz="4" w:space="0"/>
            </w:tcBorders>
            <w:noWrap w:val="0"/>
            <w:vAlign w:val="center"/>
          </w:tcPr>
          <w:p w14:paraId="60E12EA0">
            <w:pPr>
              <w:widowControl w:val="0"/>
              <w:spacing w:after="160" w:line="240" w:lineRule="auto"/>
              <w:ind w:firstLine="480" w:firstLineChars="200"/>
              <w:jc w:val="left"/>
              <w:rPr>
                <w:rFonts w:hint="eastAsia" w:ascii="仿宋_GB2312" w:hAnsi="仿宋_GB2312" w:eastAsia="仿宋_GB2312" w:cs="仿宋_GB2312"/>
                <w:color w:val="000000"/>
                <w:kern w:val="2"/>
                <w:sz w:val="24"/>
              </w:rPr>
            </w:pP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BB5518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应急设备管理</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3EB3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设备名称登记、设备日检登记、审核；</w:t>
            </w:r>
          </w:p>
        </w:tc>
      </w:tr>
      <w:tr w14:paraId="3FE6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E68A0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32</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B6BCD4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系统接口</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EBBEDF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各类接口</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873680F">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医保各接口、居民健康档案接口、HQMS接口、门诊住院一体化、传染病上报、各业务系统接口(申请单、数据传输、网银、POS机、自助机、移动服务、社保卡、三码融合、电子票据、统一支付、瘤报登记等)；</w:t>
            </w:r>
          </w:p>
        </w:tc>
      </w:tr>
      <w:tr w14:paraId="5A3A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F45A301">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33</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43ECDE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查询统计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592238C">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HIS系统查询统计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FB2E66B">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主诊组工作量统计、各科室查询统计、医保稽核及查询统计等；</w:t>
            </w:r>
          </w:p>
        </w:tc>
      </w:tr>
      <w:tr w14:paraId="43F1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783AA47">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34</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99678E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电子病历五级评审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6F624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B4B704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按照电子病历五级评审要求改造系统功能，如领药、出院带药增加医嘱天数、手术部位及术中冰冻、生理周期修改、病案首页接入艾登助手程序、首页超时提醒等；</w:t>
            </w:r>
          </w:p>
        </w:tc>
      </w:tr>
      <w:tr w14:paraId="19EF1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9AC61D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35</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52F1D9D">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医保追溯码</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AA2EC2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4DEF9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药库管理系统增加药库追溯码登记及上传、房追溯码大小码转换功能；门诊住院药房系统增加药房追溯码池登记功能、门诊处方药品销售上传药品追溯码、静配中心拆箱即扫码、中心药房药单虚拟配码、出院带药上传药品追溯码；</w:t>
            </w:r>
          </w:p>
        </w:tc>
      </w:tr>
      <w:tr w14:paraId="6AEF2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72920C5">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36</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2478D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门诊一体化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C28455D">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16B382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对接海泰门诊一体化系统，实现处方、申请单新增和同步、各字典查询、门诊病人信息和挂号信息同步、药品领量计算、病历诊断同步、退药退费等相关接口，改造HIS系统同步变更数据给一体化系统</w:t>
            </w:r>
          </w:p>
        </w:tc>
      </w:tr>
      <w:tr w14:paraId="1A25F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8738C9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37</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27D9E61">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住院一体化</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E75C6C8">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33D6500">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对接海泰住院一体化系统，实现医嘱新增和同步、皮试结果同步接口、各字典查询、医嘱药品用量及领量计算、临床试验登记、病人信息查询等相关接口，改造HIS系统同步变更数据给一体化系统；</w:t>
            </w:r>
          </w:p>
        </w:tc>
      </w:tr>
      <w:tr w14:paraId="35D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2DC985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38</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806B745">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医保飞检</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1EB841A">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rPr>
              <w:t>HIS系统</w:t>
            </w:r>
            <w:r>
              <w:rPr>
                <w:rFonts w:hint="eastAsia" w:ascii="仿宋_GB2312" w:hAnsi="仿宋_GB2312" w:eastAsia="仿宋_GB2312" w:cs="仿宋_GB2312"/>
                <w:color w:val="000000"/>
                <w:kern w:val="2"/>
                <w:sz w:val="24"/>
                <w:lang w:val="en-US" w:eastAsia="zh-CN"/>
              </w:rPr>
              <w:t>专项</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C7E25F3">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配合检查数据的提取、匹配、核对和反馈，如已收费未检查的申请单，各个组诊组药品使用情况，各类项目收费情况等；</w:t>
            </w:r>
          </w:p>
        </w:tc>
      </w:tr>
      <w:tr w14:paraId="33D8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3B9AD6F">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39</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8B4D64">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w:t>
            </w:r>
            <w:r>
              <w:rPr>
                <w:rFonts w:ascii="仿宋_GB2312" w:hAnsi="仿宋_GB2312" w:eastAsia="仿宋_GB2312" w:cs="仿宋_GB2312"/>
                <w:color w:val="000000"/>
                <w:kern w:val="2"/>
                <w:sz w:val="24"/>
              </w:rPr>
              <w:t>CHS-DRG</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217729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595A0F7">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C-DRG改造为CHS-DRG，病案首页增加结算清单生成维护和数据校验功能，完善结算清单上传、查询、撤销，提高结算清单数据质量，分组结果导入和查询功能；</w:t>
            </w:r>
          </w:p>
        </w:tc>
      </w:tr>
      <w:tr w14:paraId="1301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5F8644E">
            <w:pPr>
              <w:widowControl w:val="0"/>
              <w:spacing w:after="160" w:line="240" w:lineRule="auto"/>
              <w:jc w:val="center"/>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40</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D5B18F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高值耗材改造</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DB1ED7E">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HIS系统改造</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4BDA768">
            <w:pPr>
              <w:widowControl w:val="0"/>
              <w:spacing w:after="160" w:line="240" w:lineRule="auto"/>
              <w:jc w:val="left"/>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检查科室系统、病区管理系统、门诊病人系统、住院处系统各系统收退费时调用亿能达库存查询、库存扣减、库存增加接口，同步库存；</w:t>
            </w:r>
          </w:p>
        </w:tc>
      </w:tr>
      <w:tr w14:paraId="58E8B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7" w:type="dxa"/>
            <w:left w:w="17" w:type="dxa"/>
            <w:bottom w:w="17" w:type="dxa"/>
            <w:right w:w="17" w:type="dxa"/>
          </w:tblCellMar>
        </w:tblPrEx>
        <w:trPr>
          <w:trHeight w:val="390" w:hRule="atLeast"/>
          <w:jc w:val="center"/>
        </w:trPr>
        <w:tc>
          <w:tcPr>
            <w:tcW w:w="824"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7FC478C4">
            <w:pPr>
              <w:widowControl w:val="0"/>
              <w:spacing w:after="160" w:line="240" w:lineRule="auto"/>
              <w:jc w:val="center"/>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41</w:t>
            </w:r>
          </w:p>
        </w:tc>
        <w:tc>
          <w:tcPr>
            <w:tcW w:w="1457"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790F456">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其它服务</w:t>
            </w:r>
          </w:p>
        </w:tc>
        <w:tc>
          <w:tcPr>
            <w:tcW w:w="2039"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D37E444">
            <w:pPr>
              <w:widowControl w:val="0"/>
              <w:spacing w:after="160" w:line="240" w:lineRule="auto"/>
              <w:jc w:val="left"/>
              <w:rPr>
                <w:rFonts w:hint="default" w:ascii="仿宋_GB2312" w:hAnsi="仿宋_GB2312" w:eastAsia="仿宋_GB2312" w:cs="仿宋_GB2312"/>
                <w:color w:val="000000"/>
                <w:kern w:val="2"/>
                <w:sz w:val="24"/>
                <w:lang w:val="en-US" w:eastAsia="zh-CN"/>
              </w:rPr>
            </w:pPr>
            <w:r>
              <w:rPr>
                <w:rFonts w:hint="eastAsia" w:ascii="仿宋_GB2312" w:hAnsi="仿宋_GB2312" w:eastAsia="仿宋_GB2312" w:cs="仿宋_GB2312"/>
                <w:color w:val="000000"/>
                <w:kern w:val="2"/>
                <w:sz w:val="24"/>
                <w:lang w:val="en-US" w:eastAsia="zh-CN"/>
              </w:rPr>
              <w:t>其它专项开发系统运维服务</w:t>
            </w:r>
          </w:p>
        </w:tc>
        <w:tc>
          <w:tcPr>
            <w:tcW w:w="4198" w:type="dxa"/>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3C344579">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病案复印预约系统、</w:t>
            </w:r>
          </w:p>
          <w:p w14:paraId="5DB41D71">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消息统一平台、</w:t>
            </w:r>
          </w:p>
          <w:p w14:paraId="2B0C9FE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报告中台、</w:t>
            </w:r>
          </w:p>
          <w:p w14:paraId="1F0193A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危急值平台、</w:t>
            </w:r>
          </w:p>
          <w:p w14:paraId="0E4FD6E5">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抗肿瘤上报系统、</w:t>
            </w:r>
          </w:p>
          <w:p w14:paraId="210A94C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医保稽核系统、</w:t>
            </w:r>
          </w:p>
          <w:p w14:paraId="2EDB420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不良事件上报系统、</w:t>
            </w:r>
          </w:p>
          <w:p w14:paraId="4E95B53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三级评审上报系统、</w:t>
            </w:r>
          </w:p>
          <w:p w14:paraId="45D11157">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数据运营中心、</w:t>
            </w:r>
          </w:p>
          <w:p w14:paraId="5CF4671D">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检查检验互认平台、</w:t>
            </w:r>
          </w:p>
          <w:p w14:paraId="3A57601C">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日间治疗预约平台、</w:t>
            </w:r>
          </w:p>
          <w:p w14:paraId="451D1C53">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三级评审管理系统、</w:t>
            </w:r>
          </w:p>
          <w:p w14:paraId="775B0ED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病种质量指标填报系统、</w:t>
            </w:r>
          </w:p>
          <w:p w14:paraId="23349060">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门(急)诊诊疗信息页、</w:t>
            </w:r>
          </w:p>
          <w:p w14:paraId="0255B47A">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检查预约平台、</w:t>
            </w:r>
          </w:p>
          <w:p w14:paraId="730BD202">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rPr>
            </w:pPr>
            <w:r>
              <w:rPr>
                <w:rFonts w:hint="eastAsia" w:ascii="仿宋_GB2312" w:hAnsi="仿宋_GB2312" w:eastAsia="仿宋_GB2312" w:cs="仿宋_GB2312"/>
                <w:color w:val="000000"/>
                <w:kern w:val="2"/>
                <w:sz w:val="24"/>
              </w:rPr>
              <w:t>双向转诊、</w:t>
            </w:r>
          </w:p>
          <w:p w14:paraId="0030FCD6">
            <w:pPr>
              <w:keepNext w:val="0"/>
              <w:keepLines w:val="0"/>
              <w:pageBreakBefore w:val="0"/>
              <w:widowControl w:val="0"/>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color w:val="000000"/>
                <w:kern w:val="2"/>
                <w:sz w:val="24"/>
                <w:lang w:eastAsia="zh-CN"/>
              </w:rPr>
            </w:pPr>
            <w:r>
              <w:rPr>
                <w:rFonts w:hint="eastAsia" w:ascii="仿宋_GB2312" w:hAnsi="仿宋_GB2312" w:eastAsia="仿宋_GB2312" w:cs="仿宋_GB2312"/>
                <w:color w:val="000000"/>
                <w:kern w:val="2"/>
                <w:sz w:val="24"/>
              </w:rPr>
              <w:t>传染病智能监测预警系统</w:t>
            </w:r>
          </w:p>
        </w:tc>
      </w:tr>
    </w:tbl>
    <w:p w14:paraId="556514FD">
      <w:pPr>
        <w:widowControl w:val="0"/>
        <w:numPr>
          <w:ilvl w:val="0"/>
          <w:numId w:val="0"/>
        </w:numPr>
        <w:spacing w:after="0" w:line="590" w:lineRule="exact"/>
        <w:ind w:leftChars="0"/>
        <w:jc w:val="both"/>
        <w:rPr>
          <w:rFonts w:hint="eastAsia" w:ascii="仿宋_GB2312" w:hAnsi="仿宋_GB2312" w:eastAsia="仿宋_GB2312" w:cs="仿宋_GB2312"/>
          <w:color w:val="000000"/>
          <w:kern w:val="2"/>
          <w:sz w:val="28"/>
          <w:szCs w:val="28"/>
        </w:rPr>
      </w:pPr>
    </w:p>
    <w:p w14:paraId="2FDE8DE0">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数据库系统及开发工具限定医院指定版本。除确定无法由现有开发工具完成开发任务的部分功能，经采购人认可后允许使用其它开发工具。</w:t>
      </w:r>
    </w:p>
    <w:p w14:paraId="2C4EBD36">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根据医院实际工作需求，公司需建立一支开发服务队伍，要求日常驻场开发及维护人员总人数不少于1</w:t>
      </w:r>
      <w:r>
        <w:rPr>
          <w:rFonts w:hint="eastAsia" w:ascii="仿宋_GB2312" w:hAnsi="仿宋_GB2312" w:eastAsia="仿宋_GB2312" w:cs="仿宋_GB2312"/>
          <w:color w:val="000000"/>
          <w:kern w:val="2"/>
          <w:sz w:val="28"/>
          <w:szCs w:val="28"/>
          <w:lang w:val="en-US" w:eastAsia="zh-CN"/>
        </w:rPr>
        <w:t>1</w:t>
      </w:r>
      <w:r>
        <w:rPr>
          <w:rFonts w:hint="eastAsia" w:ascii="仿宋_GB2312" w:hAnsi="仿宋_GB2312" w:eastAsia="仿宋_GB2312" w:cs="仿宋_GB2312"/>
          <w:color w:val="000000"/>
          <w:kern w:val="2"/>
          <w:sz w:val="28"/>
          <w:szCs w:val="28"/>
        </w:rPr>
        <w:t>人，其中开发人员9人，维护人员2人，满足医院现有HIS系统的开发维护以及现有HIS系统BUG的完善和优化工作，保障医院信息系统正常稳定运行。</w:t>
      </w:r>
    </w:p>
    <w:p w14:paraId="6C763AD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公司组建的HIS开发服务团队必须符合以下要求：</w:t>
      </w:r>
    </w:p>
    <w:p w14:paraId="604E78F5">
      <w:pPr>
        <w:widowControl w:val="0"/>
        <w:numPr>
          <w:ilvl w:val="0"/>
          <w:numId w:val="0"/>
        </w:numPr>
        <w:spacing w:after="0" w:line="590" w:lineRule="exact"/>
        <w:ind w:left="420" w:leftChars="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掌握医院现有HIS系统数据结构；掌握医院现有HIS系统业务流程；掌握医院现有HIS系统应用程序代码；完成医院现有HIS系统数据结构编制；掌握医院现有HIS系统的架构、系统设计、开发工具等，全面接手现有HIS系统开发及维护工作。能够在规定的时间内完成医院的开发需求。</w:t>
      </w:r>
    </w:p>
    <w:p w14:paraId="124B5F6E">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政策性紧急查询及其它需求任务必须及时完成，且采购人不再支付其它费用。包括但不限于：免费实施政策性国家、省市各平台的数据接口、数据上传等服务及免费实施国密改造、信创国产化</w:t>
      </w:r>
      <w:r>
        <w:rPr>
          <w:rFonts w:hint="eastAsia" w:ascii="仿宋_GB2312" w:hAnsi="仿宋_GB2312" w:eastAsia="仿宋_GB2312" w:cs="仿宋_GB2312"/>
          <w:color w:val="000000"/>
          <w:kern w:val="2"/>
          <w:sz w:val="28"/>
          <w:szCs w:val="28"/>
          <w:lang w:eastAsia="zh-CN"/>
        </w:rPr>
        <w:t>，</w:t>
      </w:r>
      <w:r>
        <w:rPr>
          <w:rFonts w:hint="eastAsia" w:ascii="仿宋_GB2312" w:hAnsi="仿宋_GB2312" w:eastAsia="仿宋_GB2312" w:cs="仿宋_GB2312"/>
          <w:color w:val="000000"/>
          <w:kern w:val="2"/>
          <w:sz w:val="28"/>
          <w:szCs w:val="28"/>
        </w:rPr>
        <w:t>福建省卫健委居民健康综合服务平台、福建省检查检验结果互联互通互认平台、福建省卫健委多码融合项目等，产生相应指标，推送至医疗平台接口中（涉及其他系统，应与其他系统配合实施）。</w:t>
      </w:r>
    </w:p>
    <w:p w14:paraId="2C8F626F">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中标人需无条件协助采购人进行新换HIS系统的数据迁移、系统实施、过渡等工作。</w:t>
      </w:r>
    </w:p>
    <w:p w14:paraId="511DA4EA">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必须使用客户化需求管理工具管理本项目，具体要求待定。</w:t>
      </w:r>
    </w:p>
    <w:p w14:paraId="5CB0EEC1">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必须对医院HIS系统各系统版本做好版本控制与更新、共享。</w:t>
      </w:r>
    </w:p>
    <w:p w14:paraId="2BB9813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必须严格遵守医院信息安全管理各项规章制度，未经许可不得随意接入正式环境。</w:t>
      </w:r>
    </w:p>
    <w:p w14:paraId="6AEBB746">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数据统计功能及结果，必须严格执行医院安全保密制度，若出现泄露信息行为应由中标人及相关人员承担相应责任。</w:t>
      </w:r>
    </w:p>
    <w:p w14:paraId="16A9DE8D">
      <w:pPr>
        <w:widowControl w:val="0"/>
        <w:numPr>
          <w:ilvl w:val="0"/>
          <w:numId w:val="2"/>
        </w:numPr>
        <w:spacing w:after="0" w:line="590" w:lineRule="exact"/>
        <w:ind w:left="420" w:hanging="420"/>
        <w:jc w:val="both"/>
        <w:rPr>
          <w:rFonts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中标人每两周必须向采购人提交工作报告及工作计划，格式由采购人另行提供。</w:t>
      </w:r>
    </w:p>
    <w:p w14:paraId="5F69486E">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中标人驻场人员管理由采购人及公司共同进行，人员业务由采购人每季度（半年）进行考核。</w:t>
      </w:r>
    </w:p>
    <w:p w14:paraId="0A3BC41D">
      <w:pPr>
        <w:widowControl w:val="0"/>
        <w:numPr>
          <w:ilvl w:val="0"/>
          <w:numId w:val="2"/>
        </w:numPr>
        <w:spacing w:after="0" w:line="590" w:lineRule="exact"/>
        <w:ind w:left="420" w:hanging="420"/>
        <w:jc w:val="both"/>
        <w:rPr>
          <w:rFonts w:hint="eastAsia" w:ascii="仿宋_GB2312" w:hAnsi="仿宋_GB2312" w:eastAsia="仿宋_GB2312" w:cs="仿宋_GB2312"/>
          <w:color w:val="000000"/>
          <w:kern w:val="2"/>
          <w:sz w:val="28"/>
          <w:szCs w:val="28"/>
        </w:rPr>
      </w:pPr>
      <w:r>
        <w:rPr>
          <w:rFonts w:hint="eastAsia" w:ascii="仿宋_GB2312" w:hAnsi="仿宋_GB2312" w:eastAsia="仿宋_GB2312" w:cs="仿宋_GB2312"/>
          <w:color w:val="000000"/>
          <w:kern w:val="2"/>
          <w:sz w:val="28"/>
          <w:szCs w:val="28"/>
        </w:rPr>
        <w:t>现有HIS系统的维护、开发等软件源码版权及资料属于采购人，中标人不得在采购人以外使用该软件源码及资料（注：软件源码包括数据库、系统配置等一切与现有HIS系统的技术脚本及技术文档）。</w:t>
      </w:r>
    </w:p>
    <w:p w14:paraId="5F2DC2F2">
      <w:pPr>
        <w:spacing w:line="360" w:lineRule="auto"/>
        <w:rPr>
          <w:sz w:val="28"/>
          <w:szCs w:val="28"/>
        </w:rPr>
      </w:pPr>
      <w:r>
        <w:rPr>
          <w:rFonts w:hint="eastAsia"/>
          <w:b/>
          <w:bCs/>
          <w:sz w:val="28"/>
          <w:szCs w:val="28"/>
          <w:lang w:val="en-US" w:eastAsia="zh-CN"/>
        </w:rPr>
        <w:t>二</w:t>
      </w:r>
      <w:r>
        <w:rPr>
          <w:rFonts w:hint="eastAsia"/>
          <w:b/>
          <w:bCs/>
          <w:sz w:val="28"/>
          <w:szCs w:val="28"/>
        </w:rPr>
        <w:t>、其他要求</w:t>
      </w:r>
    </w:p>
    <w:p w14:paraId="6DFC1311">
      <w:pPr>
        <w:spacing w:line="360" w:lineRule="auto"/>
        <w:rPr>
          <w:rFonts w:hint="eastAsia"/>
          <w:sz w:val="28"/>
          <w:szCs w:val="28"/>
        </w:rPr>
      </w:pPr>
      <w:r>
        <w:rPr>
          <w:rFonts w:hint="eastAsia"/>
          <w:sz w:val="28"/>
          <w:szCs w:val="28"/>
        </w:rPr>
        <w:t>1、本项目系统须同时覆盖我院滨海院区，功能与技术要求与本部院区一致。应结合我院实际医疗及管理需要，对系统进行客户化修改，包括但不限于结合医院实际管理需求。</w:t>
      </w:r>
    </w:p>
    <w:p w14:paraId="08D4B7D3">
      <w:pPr>
        <w:spacing w:line="360" w:lineRule="auto"/>
        <w:rPr>
          <w:rFonts w:hint="eastAsia"/>
          <w:sz w:val="28"/>
          <w:szCs w:val="28"/>
        </w:rPr>
      </w:pPr>
      <w:r>
        <w:rPr>
          <w:rFonts w:hint="eastAsia"/>
          <w:sz w:val="28"/>
          <w:szCs w:val="28"/>
        </w:rPr>
        <w:t>2、由于本项目系统需符合国产化要求，不得使用主管部门禁止使用的操作系统及数据库，必须采用并部署正版的国产化操作系统、数据库、中间件及前端国产化工作站。同时本项目验收前按政策或是按院方需要提供有资质的第三方公司开展的密码应用安全性测评、信息技术应用创新符合性测试，并提供相关的证明。</w:t>
      </w:r>
    </w:p>
    <w:p w14:paraId="5266E166">
      <w:pPr>
        <w:spacing w:line="360" w:lineRule="auto"/>
        <w:rPr>
          <w:rFonts w:hint="eastAsia"/>
          <w:sz w:val="28"/>
          <w:szCs w:val="28"/>
        </w:rPr>
      </w:pPr>
      <w:r>
        <w:rPr>
          <w:rFonts w:hint="eastAsia"/>
          <w:sz w:val="28"/>
          <w:szCs w:val="28"/>
        </w:rPr>
        <w:t>3、本项目系统需符合《信息安全技术网络安全等级保护基本要求》GB/T22239-2019（三级）要求（简称：三级等保2.0）及密码应用安全性评估，并在以上评审中协助完成本系统评审工作。</w:t>
      </w:r>
    </w:p>
    <w:p w14:paraId="7FBAC313">
      <w:pPr>
        <w:spacing w:line="360" w:lineRule="auto"/>
        <w:rPr>
          <w:rFonts w:hint="eastAsia"/>
          <w:sz w:val="28"/>
          <w:szCs w:val="28"/>
        </w:rPr>
      </w:pPr>
      <w:r>
        <w:rPr>
          <w:rFonts w:hint="eastAsia"/>
          <w:sz w:val="28"/>
          <w:szCs w:val="28"/>
        </w:rPr>
        <w:t>4、三年内免费实施政策性国家、省市各平台的数据接口、数据上传等服务及免费实施国密改造、国产化改造，包括但不限于：福建省卫健委居民健康综合服务平台、福建省三医一网数据上报平台、福建省检查检验结果互联互通互认平台、福建省卫健委多码融合项目等，产生相应指标，推送至医疗平台接口中（涉及其他系统，应与其他系统配合实施）。</w:t>
      </w:r>
    </w:p>
    <w:p w14:paraId="127E90E7">
      <w:pPr>
        <w:spacing w:line="360" w:lineRule="auto"/>
        <w:rPr>
          <w:rFonts w:hint="eastAsia"/>
          <w:sz w:val="28"/>
          <w:szCs w:val="28"/>
        </w:rPr>
      </w:pPr>
      <w:r>
        <w:rPr>
          <w:rFonts w:hint="eastAsia"/>
          <w:sz w:val="28"/>
          <w:szCs w:val="28"/>
        </w:rPr>
        <w:t>5、本项目系统应提供与医院HIS，电子病历、危急值平台、报告平台、麻醉耗材、患者360（含HIS360、CDR360）等系统无缝集成接口，符合电子病历6级、医院的互联互通5级、智慧医院4级的建设要求。</w:t>
      </w:r>
    </w:p>
    <w:p w14:paraId="33100B1D">
      <w:pPr>
        <w:spacing w:line="360" w:lineRule="auto"/>
        <w:rPr>
          <w:rFonts w:hint="eastAsia"/>
          <w:sz w:val="28"/>
          <w:szCs w:val="28"/>
        </w:rPr>
      </w:pPr>
      <w:r>
        <w:rPr>
          <w:rFonts w:hint="eastAsia"/>
          <w:sz w:val="28"/>
          <w:szCs w:val="28"/>
        </w:rPr>
        <w:t>6、本项目为交钥匙工程，本项目系统与各业务系统及设备的数据接口由中标人自行负责。本项目涉及院内现有各业务系统接口的，采购人不再向中标人支付接口费用。</w:t>
      </w:r>
    </w:p>
    <w:p w14:paraId="4B607717">
      <w:pPr>
        <w:spacing w:line="360" w:lineRule="auto"/>
        <w:rPr>
          <w:rFonts w:hint="eastAsia"/>
          <w:sz w:val="28"/>
          <w:szCs w:val="28"/>
        </w:rPr>
      </w:pPr>
      <w:r>
        <w:rPr>
          <w:rFonts w:hint="eastAsia"/>
          <w:sz w:val="28"/>
          <w:szCs w:val="28"/>
        </w:rPr>
        <w:t>7、具备与集成平台通过统一的数据接口，实现浏览各检查报告具备通过系统集成平台按照国家、院内、院级数据集标准进行数据交换。具备多模式下数据交换接口的切换管理，诸如：集成平台出现故障时，可切换成应用系统服务接口模式或数据表模式，集成平台恢复时，可重新切换成集成平台。</w:t>
      </w:r>
    </w:p>
    <w:p w14:paraId="6E09A529">
      <w:pPr>
        <w:spacing w:line="360" w:lineRule="auto"/>
        <w:rPr>
          <w:rFonts w:hint="eastAsia"/>
          <w:sz w:val="28"/>
          <w:szCs w:val="28"/>
        </w:rPr>
      </w:pPr>
      <w:r>
        <w:rPr>
          <w:rFonts w:hint="eastAsia"/>
          <w:sz w:val="28"/>
          <w:szCs w:val="28"/>
        </w:rPr>
        <w:t>8、根据国家《医院信息系统功能规范》第十二条以及国家信息化建设审计要求，必须提供完整的总体设计报告、需求分析说明书、上线测试报告、操作使用手册、系统维护手册等。</w:t>
      </w:r>
    </w:p>
    <w:p w14:paraId="67A85A41">
      <w:pPr>
        <w:spacing w:line="360" w:lineRule="auto"/>
        <w:rPr>
          <w:rFonts w:hint="eastAsia"/>
          <w:sz w:val="28"/>
          <w:szCs w:val="28"/>
        </w:rPr>
      </w:pPr>
      <w:r>
        <w:rPr>
          <w:rFonts w:hint="eastAsia"/>
          <w:sz w:val="28"/>
          <w:szCs w:val="28"/>
        </w:rPr>
        <w:t>9、数据具备各数据表基础数据项的完整性，诸如：数据的创建人、创建时间、最后修改人、最后修改时间等；具备应用系统数据修改痕迹管理，各项核心业务的数据修改必须以日志形式保存，数据修改日志至少必须有“数据基础信息”、“修改前数据”、“修改后数据”、“修改人”、“修改时间”五个部分核心数据项组成；具备应用系统可以手动设置本地日志的保存目录，并自动必须定期清除。</w:t>
      </w:r>
    </w:p>
    <w:p w14:paraId="4D1E44F7">
      <w:pPr>
        <w:spacing w:line="360" w:lineRule="auto"/>
        <w:rPr>
          <w:rFonts w:hint="eastAsia"/>
          <w:sz w:val="28"/>
          <w:szCs w:val="28"/>
        </w:rPr>
      </w:pPr>
      <w:r>
        <w:rPr>
          <w:rFonts w:hint="eastAsia"/>
          <w:sz w:val="28"/>
          <w:szCs w:val="28"/>
        </w:rPr>
        <w:t>10、本项目系统所有的工作流程节点（诸如：工作环节名称、患者ID、操作人、操作时间等）必须发送至全院工作流程管理平台进行接收、存储；本项目所涉及的影像文件（照片、图像等），则必须与全院统一影像数据中台实现交互，全部由全院统一影像数据中台进行管理（接收、存储、调阅等），原则上本项目服务器及应用系统不保存所涉及的影像文件（照片、图像等）；各具体接口技术方案待实施时由采购人提供。</w:t>
      </w:r>
    </w:p>
    <w:p w14:paraId="70C34594">
      <w:pPr>
        <w:spacing w:line="360" w:lineRule="auto"/>
        <w:rPr>
          <w:rFonts w:hint="eastAsia"/>
          <w:sz w:val="28"/>
          <w:szCs w:val="28"/>
        </w:rPr>
      </w:pPr>
      <w:r>
        <w:rPr>
          <w:rFonts w:hint="eastAsia"/>
          <w:sz w:val="28"/>
          <w:szCs w:val="28"/>
        </w:rPr>
        <w:t>11、与医院现有CA数字签名功能实现对接，满足医院各法规需要。</w:t>
      </w:r>
    </w:p>
    <w:p w14:paraId="56F3DC77">
      <w:pPr>
        <w:spacing w:line="360" w:lineRule="auto"/>
        <w:rPr>
          <w:rFonts w:hint="eastAsia"/>
          <w:sz w:val="28"/>
          <w:szCs w:val="28"/>
        </w:rPr>
      </w:pPr>
      <w:r>
        <w:rPr>
          <w:rFonts w:hint="eastAsia"/>
          <w:sz w:val="28"/>
          <w:szCs w:val="28"/>
        </w:rPr>
        <w:t>12、本项目系统若需接入医院APP(实现院外移动端查询)，则中标人应提供H5接口，并支付相应接口费用（不超过3万元），是否需接入医院APP以项目验收时采购人需求为准。</w:t>
      </w:r>
    </w:p>
    <w:p w14:paraId="38EF24D4">
      <w:pPr>
        <w:spacing w:line="360" w:lineRule="auto"/>
        <w:rPr>
          <w:rFonts w:hint="eastAsia"/>
          <w:sz w:val="28"/>
          <w:szCs w:val="28"/>
        </w:rPr>
      </w:pPr>
      <w:r>
        <w:rPr>
          <w:rFonts w:hint="eastAsia"/>
          <w:sz w:val="28"/>
          <w:szCs w:val="28"/>
        </w:rPr>
        <w:t>13、在本项目系统软件使用及维保有效期内，本项目软件在每个使用科室使用的终端数量不受限制，数据不得加密，不得使用加密狗、打印加密、功能加密等任何软件使用约束。同时，乙方须如实向甲方提供数据库管理员的用户名、密码以及相关用户权限信息，不得隐瞒。不得通过任何技术手段限制系统内容，数据表结构不得加密，且必须如实提供给甲方。</w:t>
      </w:r>
    </w:p>
    <w:p w14:paraId="7A8F1ADB">
      <w:pPr>
        <w:spacing w:line="360" w:lineRule="auto"/>
        <w:rPr>
          <w:rFonts w:hint="eastAsia"/>
          <w:sz w:val="28"/>
          <w:szCs w:val="28"/>
        </w:rPr>
      </w:pPr>
      <w:r>
        <w:rPr>
          <w:rFonts w:hint="eastAsia"/>
          <w:sz w:val="28"/>
          <w:szCs w:val="28"/>
        </w:rPr>
        <w:t>14、本项目软件部分按总价进行报价，不能以安装工作站数量进行报价。</w:t>
      </w:r>
    </w:p>
    <w:p w14:paraId="1D9BCD86">
      <w:pPr>
        <w:spacing w:line="360" w:lineRule="auto"/>
        <w:rPr>
          <w:rFonts w:hint="eastAsia"/>
          <w:sz w:val="28"/>
          <w:szCs w:val="28"/>
        </w:rPr>
      </w:pPr>
      <w:r>
        <w:rPr>
          <w:rFonts w:hint="eastAsia"/>
          <w:sz w:val="28"/>
          <w:szCs w:val="28"/>
        </w:rPr>
        <w:t>15、本项目需完成旧系统中的历史数据导入，旧系统中非自动产生的数据（如手工输入值等），在新系统中可不体现或以默认值体现。若有涉及接口费用，由中标方负责，采购人不再向中标人支付接口费用。</w:t>
      </w:r>
    </w:p>
    <w:p w14:paraId="2A673C07">
      <w:pPr>
        <w:spacing w:line="360" w:lineRule="auto"/>
        <w:rPr>
          <w:rFonts w:hint="eastAsia"/>
          <w:sz w:val="28"/>
          <w:szCs w:val="28"/>
        </w:rPr>
      </w:pPr>
      <w:r>
        <w:rPr>
          <w:rFonts w:hint="eastAsia"/>
          <w:sz w:val="28"/>
          <w:szCs w:val="28"/>
        </w:rPr>
        <w:t>16、本项目软件版面色彩、风格等应按医院要求设计制作；软件标题只能出现医院logo及系统名称，不能出现公司名称，公司名称允许在帮助（help）的关于（about）中出现。具体版面另行通知。</w:t>
      </w:r>
    </w:p>
    <w:p w14:paraId="670707D3">
      <w:pPr>
        <w:spacing w:line="360" w:lineRule="auto"/>
        <w:rPr>
          <w:sz w:val="28"/>
          <w:szCs w:val="28"/>
        </w:rPr>
      </w:pPr>
      <w:r>
        <w:rPr>
          <w:rFonts w:hint="eastAsia"/>
          <w:sz w:val="28"/>
          <w:szCs w:val="28"/>
        </w:rPr>
        <w:t>17、本项目系统安装调试并经验收合格后，应对采购方的相关人员提供关于系统应用时技术和操作方面的培训。相关培训费用应包含在投标总价中。</w:t>
      </w:r>
    </w:p>
    <w:p w14:paraId="13C40D03">
      <w:pPr>
        <w:spacing w:line="360" w:lineRule="auto"/>
        <w:rPr>
          <w:sz w:val="28"/>
          <w:szCs w:val="28"/>
        </w:rPr>
      </w:pPr>
      <w:r>
        <w:rPr>
          <w:rFonts w:hint="eastAsia"/>
          <w:b/>
          <w:bCs/>
          <w:sz w:val="28"/>
          <w:szCs w:val="28"/>
          <w:lang w:val="en-US" w:eastAsia="zh-CN"/>
        </w:rPr>
        <w:t>三</w:t>
      </w:r>
      <w:r>
        <w:rPr>
          <w:rFonts w:hint="eastAsia"/>
          <w:b/>
          <w:bCs/>
          <w:sz w:val="28"/>
          <w:szCs w:val="28"/>
        </w:rPr>
        <w:t>、调研说明</w:t>
      </w:r>
    </w:p>
    <w:p w14:paraId="6333DA05">
      <w:pPr>
        <w:spacing w:line="360" w:lineRule="auto"/>
        <w:rPr>
          <w:sz w:val="28"/>
          <w:szCs w:val="28"/>
        </w:rPr>
      </w:pPr>
      <w:r>
        <w:rPr>
          <w:rFonts w:hint="eastAsia"/>
          <w:sz w:val="28"/>
          <w:szCs w:val="28"/>
        </w:rPr>
        <w:t>报名参加本次调研的供应商、厂家需提供如下相关资料。</w:t>
      </w:r>
    </w:p>
    <w:p w14:paraId="694DB26D">
      <w:pPr>
        <w:numPr>
          <w:ilvl w:val="0"/>
          <w:numId w:val="3"/>
        </w:numPr>
        <w:spacing w:line="360" w:lineRule="auto"/>
        <w:rPr>
          <w:rFonts w:hint="eastAsia"/>
          <w:sz w:val="28"/>
          <w:szCs w:val="28"/>
        </w:rPr>
      </w:pPr>
      <w:r>
        <w:rPr>
          <w:rFonts w:hint="eastAsia"/>
          <w:sz w:val="28"/>
          <w:szCs w:val="28"/>
        </w:rPr>
        <w:t>报名时请携带加盖公章的项目文件回执单、营业执照复印件、公司简介（可含提供设备彩页等）</w:t>
      </w:r>
      <w:r>
        <w:rPr>
          <w:rFonts w:hint="eastAsia"/>
          <w:sz w:val="28"/>
          <w:szCs w:val="28"/>
          <w:lang w:eastAsia="zh-CN"/>
        </w:rPr>
        <w:t>、</w:t>
      </w:r>
      <w:r>
        <w:rPr>
          <w:rFonts w:hint="eastAsia"/>
          <w:sz w:val="28"/>
          <w:szCs w:val="28"/>
        </w:rPr>
        <w:t>参与人员授权等相关授权、报名联系人近半年医社保证明（需同一界面同时显示人员和公司名称）。</w:t>
      </w:r>
    </w:p>
    <w:p w14:paraId="5F28E6DC">
      <w:pPr>
        <w:numPr>
          <w:ilvl w:val="0"/>
          <w:numId w:val="3"/>
        </w:numPr>
        <w:spacing w:line="360" w:lineRule="auto"/>
        <w:rPr>
          <w:rFonts w:hint="eastAsia"/>
          <w:sz w:val="28"/>
          <w:szCs w:val="28"/>
        </w:rPr>
      </w:pPr>
      <w:r>
        <w:rPr>
          <w:rFonts w:hint="eastAsia"/>
          <w:sz w:val="28"/>
          <w:szCs w:val="28"/>
          <w:lang w:val="en-US" w:eastAsia="zh-CN"/>
        </w:rPr>
        <w:t>需求调研</w:t>
      </w:r>
      <w:r>
        <w:rPr>
          <w:rFonts w:hint="eastAsia"/>
          <w:sz w:val="28"/>
          <w:szCs w:val="28"/>
        </w:rPr>
        <w:t>会时提交相关材料纸质胶装1正</w:t>
      </w:r>
      <w:r>
        <w:rPr>
          <w:rFonts w:hint="eastAsia"/>
          <w:sz w:val="28"/>
          <w:szCs w:val="28"/>
          <w:lang w:val="en-US" w:eastAsia="zh-CN"/>
        </w:rPr>
        <w:t>3</w:t>
      </w:r>
      <w:r>
        <w:rPr>
          <w:rFonts w:hint="eastAsia"/>
          <w:sz w:val="28"/>
          <w:szCs w:val="28"/>
        </w:rPr>
        <w:t>副。内容包含但不限于：报名文件所含内容及以下所提及内容</w:t>
      </w:r>
      <w:r>
        <w:rPr>
          <w:rFonts w:hint="eastAsia"/>
          <w:sz w:val="28"/>
          <w:szCs w:val="28"/>
          <w:lang w:eastAsia="zh-CN"/>
        </w:rPr>
        <w:t>。</w:t>
      </w:r>
    </w:p>
    <w:p w14:paraId="44D0CCFA">
      <w:pPr>
        <w:spacing w:line="360" w:lineRule="auto"/>
        <w:ind w:firstLine="280" w:firstLineChars="100"/>
        <w:rPr>
          <w:rFonts w:hint="eastAsia"/>
          <w:sz w:val="28"/>
          <w:szCs w:val="28"/>
        </w:rPr>
      </w:pPr>
      <w:r>
        <w:rPr>
          <w:rFonts w:hint="eastAsia"/>
          <w:sz w:val="28"/>
          <w:szCs w:val="28"/>
          <w:lang w:val="en-US" w:eastAsia="zh-CN"/>
        </w:rPr>
        <w:t>2.1</w:t>
      </w:r>
      <w:r>
        <w:rPr>
          <w:rFonts w:hint="eastAsia"/>
          <w:sz w:val="28"/>
          <w:szCs w:val="28"/>
        </w:rPr>
        <w:t>、分别提供“信用中国”网站（www.creditchina.gov.cn）、“中国政府采购网”网站（http://www.ccgp.gov.cn/search/cr/）信用记录查询截图，无不良记录并加盖公章（截图查询日期必须在该公告日期内）。</w:t>
      </w:r>
    </w:p>
    <w:p w14:paraId="248F132B">
      <w:pPr>
        <w:spacing w:line="360" w:lineRule="auto"/>
        <w:ind w:firstLine="280" w:firstLineChars="100"/>
        <w:rPr>
          <w:sz w:val="28"/>
          <w:szCs w:val="28"/>
        </w:rPr>
      </w:pPr>
      <w:r>
        <w:rPr>
          <w:rFonts w:hint="eastAsia"/>
          <w:sz w:val="28"/>
          <w:szCs w:val="28"/>
          <w:lang w:val="en-US" w:eastAsia="zh-CN"/>
        </w:rPr>
        <w:t>2.2</w:t>
      </w:r>
      <w:r>
        <w:rPr>
          <w:rFonts w:hint="eastAsia"/>
          <w:sz w:val="28"/>
          <w:szCs w:val="28"/>
        </w:rPr>
        <w:t>、提供业绩清单及近3年省内同类项目中标案例；</w:t>
      </w:r>
    </w:p>
    <w:p w14:paraId="1FDF21FA">
      <w:pPr>
        <w:spacing w:line="360" w:lineRule="auto"/>
        <w:rPr>
          <w:sz w:val="28"/>
          <w:szCs w:val="28"/>
        </w:rPr>
      </w:pPr>
      <w:r>
        <w:rPr>
          <w:rFonts w:hint="eastAsia"/>
          <w:sz w:val="28"/>
          <w:szCs w:val="28"/>
          <w:lang w:val="en-US" w:eastAsia="zh-CN"/>
        </w:rPr>
        <w:t>3</w:t>
      </w:r>
      <w:r>
        <w:rPr>
          <w:rFonts w:hint="eastAsia"/>
          <w:sz w:val="28"/>
          <w:szCs w:val="28"/>
        </w:rPr>
        <w:t>、本调研会的报价仅做为本项目公开招标的预算限价；不做参与投标的限制条件；</w:t>
      </w:r>
    </w:p>
    <w:p w14:paraId="4E2746FD">
      <w:pPr>
        <w:spacing w:line="360" w:lineRule="auto"/>
        <w:rPr>
          <w:sz w:val="28"/>
          <w:szCs w:val="28"/>
        </w:rPr>
      </w:pPr>
      <w:r>
        <w:rPr>
          <w:rFonts w:hint="eastAsia"/>
          <w:sz w:val="28"/>
          <w:szCs w:val="28"/>
          <w:lang w:val="en-US" w:eastAsia="zh-CN"/>
        </w:rPr>
        <w:t>4</w:t>
      </w:r>
      <w:r>
        <w:rPr>
          <w:rFonts w:hint="eastAsia"/>
          <w:sz w:val="28"/>
          <w:szCs w:val="28"/>
        </w:rPr>
        <w:t>、上述各参数将做为本项目招标的主要参数，不代表本项目公开招标的最终参数；</w:t>
      </w:r>
    </w:p>
    <w:p w14:paraId="53DB4993">
      <w:pPr>
        <w:spacing w:line="360" w:lineRule="auto"/>
        <w:rPr>
          <w:rFonts w:hint="eastAsia"/>
          <w:sz w:val="28"/>
          <w:szCs w:val="28"/>
        </w:rPr>
        <w:sectPr>
          <w:pgSz w:w="11906" w:h="16838"/>
          <w:pgMar w:top="1440" w:right="1800" w:bottom="1440" w:left="1800" w:header="851" w:footer="992" w:gutter="0"/>
          <w:cols w:space="425" w:num="1"/>
          <w:docGrid w:type="lines" w:linePitch="312" w:charSpace="0"/>
        </w:sectPr>
      </w:pPr>
      <w:r>
        <w:rPr>
          <w:rFonts w:hint="eastAsia"/>
          <w:sz w:val="28"/>
          <w:szCs w:val="28"/>
          <w:lang w:val="en-US" w:eastAsia="zh-CN"/>
        </w:rPr>
        <w:t>5</w:t>
      </w:r>
      <w:r>
        <w:rPr>
          <w:rFonts w:hint="eastAsia"/>
          <w:sz w:val="28"/>
          <w:szCs w:val="28"/>
        </w:rPr>
        <w:t>、参加调研会的公司应准备PPT材料（含方案介绍、服务及集成能力、应用案例、报价等）、技术参数等材料，每公司讲解时间30分钟内（含答疑10分钟）；同时上述材料须交予院方留档（发送邮件到wlb@fjzlhospital.com，并提供U盘留档）。</w:t>
      </w:r>
    </w:p>
    <w:p w14:paraId="6C49C88A">
      <w:pPr>
        <w:widowControl w:val="0"/>
        <w:shd w:val="solid" w:color="FFFFFF" w:fill="auto"/>
        <w:autoSpaceDN w:val="0"/>
        <w:spacing w:after="0" w:line="360" w:lineRule="auto"/>
        <w:jc w:val="center"/>
        <w:rPr>
          <w:rFonts w:hint="eastAsia" w:ascii="仿宋_GB2312" w:hAnsi="仿宋_GB2312" w:eastAsia="仿宋_GB2312" w:cs="仿宋_GB2312"/>
          <w:b/>
          <w:kern w:val="2"/>
          <w:sz w:val="32"/>
          <w:szCs w:val="32"/>
          <w:shd w:val="clear" w:color="auto" w:fill="FFFFFF"/>
        </w:rPr>
      </w:pPr>
      <w:r>
        <w:rPr>
          <w:rFonts w:hint="eastAsia" w:ascii="仿宋_GB2312" w:hAnsi="仿宋_GB2312" w:eastAsia="仿宋_GB2312" w:cs="仿宋_GB2312"/>
          <w:b/>
          <w:color w:val="000000"/>
          <w:kern w:val="2"/>
          <w:sz w:val="32"/>
          <w:szCs w:val="32"/>
          <w:shd w:val="clear" w:color="auto" w:fill="FFFFFF"/>
        </w:rPr>
        <w:t>项目文件回执单</w:t>
      </w:r>
    </w:p>
    <w:p w14:paraId="659F567C">
      <w:pPr>
        <w:widowControl w:val="0"/>
        <w:shd w:val="solid" w:color="FFFFFF" w:fill="auto"/>
        <w:autoSpaceDN w:val="0"/>
        <w:spacing w:after="0" w:line="360" w:lineRule="auto"/>
        <w:ind w:firstLine="640" w:firstLineChars="200"/>
        <w:jc w:val="both"/>
        <w:rPr>
          <w:rFonts w:hint="eastAsia" w:ascii="仿宋_GB2312" w:hAnsi="仿宋_GB2312" w:eastAsia="仿宋_GB2312" w:cs="仿宋_GB2312"/>
          <w:bCs/>
          <w:kern w:val="2"/>
          <w:sz w:val="32"/>
          <w:szCs w:val="32"/>
        </w:rPr>
      </w:pPr>
      <w:r>
        <w:rPr>
          <w:rFonts w:hint="eastAsia" w:ascii="仿宋_GB2312" w:hAnsi="仿宋_GB2312" w:eastAsia="仿宋_GB2312" w:cs="仿宋_GB2312"/>
          <w:bCs/>
          <w:kern w:val="2"/>
          <w:sz w:val="32"/>
          <w:szCs w:val="32"/>
          <w:shd w:val="clear" w:color="auto" w:fill="FFFFFF"/>
        </w:rPr>
        <w:t>请有意向参与的公司在项目公示期内携带回执单至福建省肿瘤医院网络技术中心报名。</w:t>
      </w:r>
    </w:p>
    <w:tbl>
      <w:tblPr>
        <w:tblStyle w:val="17"/>
        <w:tblW w:w="8154" w:type="dxa"/>
        <w:tblInd w:w="358"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1140"/>
        <w:gridCol w:w="2651"/>
        <w:gridCol w:w="2115"/>
        <w:gridCol w:w="2248"/>
      </w:tblGrid>
      <w:tr w14:paraId="112767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04" w:hRule="exact"/>
        </w:trPr>
        <w:tc>
          <w:tcPr>
            <w:tcW w:w="1140" w:type="dxa"/>
            <w:tcBorders>
              <w:top w:val="single" w:color="000000" w:sz="8" w:space="0"/>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CC5B2BB">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序号</w:t>
            </w:r>
          </w:p>
        </w:tc>
        <w:tc>
          <w:tcPr>
            <w:tcW w:w="2651"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766880D">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项目名称</w:t>
            </w:r>
          </w:p>
        </w:tc>
        <w:tc>
          <w:tcPr>
            <w:tcW w:w="2115"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37E2593">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数量</w:t>
            </w:r>
          </w:p>
        </w:tc>
        <w:tc>
          <w:tcPr>
            <w:tcW w:w="2248" w:type="dxa"/>
            <w:tcBorders>
              <w:top w:val="single" w:color="000000" w:sz="8" w:space="0"/>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497463D9">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品牌及型号</w:t>
            </w:r>
          </w:p>
        </w:tc>
      </w:tr>
      <w:tr w14:paraId="0A105A6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2FCBD99A">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1</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A67BA3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3860B96F">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71B6BA27">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r w14:paraId="786A36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54" w:hRule="exact"/>
        </w:trPr>
        <w:tc>
          <w:tcPr>
            <w:tcW w:w="1140" w:type="dxa"/>
            <w:tcBorders>
              <w:top w:val="nil"/>
              <w:left w:val="single" w:color="000000" w:sz="8" w:space="0"/>
              <w:bottom w:val="single" w:color="000000" w:sz="8" w:space="0"/>
              <w:right w:val="single" w:color="000000" w:sz="8" w:space="0"/>
            </w:tcBorders>
            <w:shd w:val="solid" w:color="FFFFFF" w:fill="auto"/>
            <w:tcMar>
              <w:top w:w="0" w:type="dxa"/>
              <w:left w:w="108" w:type="dxa"/>
              <w:bottom w:w="0" w:type="dxa"/>
              <w:right w:w="108" w:type="dxa"/>
            </w:tcMar>
            <w:vAlign w:val="center"/>
          </w:tcPr>
          <w:p w14:paraId="30694BE2">
            <w:pPr>
              <w:widowControl w:val="0"/>
              <w:shd w:val="solid" w:color="FFFFFF" w:fill="auto"/>
              <w:autoSpaceDN w:val="0"/>
              <w:spacing w:after="0" w:line="360" w:lineRule="auto"/>
              <w:jc w:val="center"/>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2</w:t>
            </w:r>
          </w:p>
        </w:tc>
        <w:tc>
          <w:tcPr>
            <w:tcW w:w="2651"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290D97E">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115"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19F4A00D">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r>
              <w:rPr>
                <w:rFonts w:hint="eastAsia" w:ascii="仿宋_GB2312" w:hAnsi="仿宋_GB2312" w:eastAsia="仿宋_GB2312" w:cs="仿宋_GB2312"/>
                <w:bCs/>
                <w:kern w:val="2"/>
                <w:sz w:val="28"/>
                <w:szCs w:val="28"/>
                <w:shd w:val="clear" w:color="auto" w:fill="FFFFFF"/>
              </w:rPr>
              <w:t xml:space="preserve"> </w:t>
            </w:r>
          </w:p>
        </w:tc>
        <w:tc>
          <w:tcPr>
            <w:tcW w:w="2248" w:type="dxa"/>
            <w:tcBorders>
              <w:top w:val="nil"/>
              <w:left w:val="nil"/>
              <w:bottom w:val="single" w:color="000000" w:sz="8" w:space="0"/>
              <w:right w:val="single" w:color="000000" w:sz="8" w:space="0"/>
            </w:tcBorders>
            <w:shd w:val="solid" w:color="FFFFFF" w:fill="auto"/>
            <w:tcMar>
              <w:top w:w="0" w:type="dxa"/>
              <w:left w:w="108" w:type="dxa"/>
              <w:bottom w:w="0" w:type="dxa"/>
              <w:right w:w="108" w:type="dxa"/>
            </w:tcMar>
            <w:vAlign w:val="center"/>
          </w:tcPr>
          <w:p w14:paraId="58ACCE11">
            <w:pPr>
              <w:widowControl w:val="0"/>
              <w:shd w:val="solid" w:color="FFFFFF" w:fill="auto"/>
              <w:autoSpaceDN w:val="0"/>
              <w:spacing w:after="0" w:line="360" w:lineRule="auto"/>
              <w:jc w:val="both"/>
              <w:rPr>
                <w:rFonts w:hint="eastAsia" w:ascii="仿宋_GB2312" w:hAnsi="仿宋_GB2312" w:eastAsia="仿宋_GB2312" w:cs="仿宋_GB2312"/>
                <w:bCs/>
                <w:kern w:val="2"/>
                <w:sz w:val="28"/>
                <w:szCs w:val="28"/>
                <w:shd w:val="clear" w:color="auto" w:fill="FFFFFF"/>
              </w:rPr>
            </w:pPr>
          </w:p>
        </w:tc>
      </w:tr>
    </w:tbl>
    <w:p w14:paraId="1DBE4070">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26BAD80A">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68FEB8D1">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公司名称：</w:t>
      </w:r>
    </w:p>
    <w:p w14:paraId="0F052B2E">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 xml:space="preserve">联系人：　 </w:t>
      </w:r>
    </w:p>
    <w:p w14:paraId="545643D9">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联系电话：</w:t>
      </w:r>
    </w:p>
    <w:p w14:paraId="0C75C842">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r>
        <w:rPr>
          <w:rFonts w:hint="eastAsia" w:ascii="仿宋_GB2312" w:hAnsi="仿宋_GB2312" w:eastAsia="仿宋_GB2312" w:cs="仿宋_GB2312"/>
          <w:bCs/>
          <w:kern w:val="2"/>
          <w:sz w:val="32"/>
          <w:szCs w:val="32"/>
          <w:shd w:val="clear" w:color="auto" w:fill="FFFFFF"/>
        </w:rPr>
        <w:t>公司盖章：</w:t>
      </w:r>
    </w:p>
    <w:p w14:paraId="1D903916">
      <w:pPr>
        <w:widowControl w:val="0"/>
        <w:shd w:val="solid" w:color="FFFFFF" w:fill="auto"/>
        <w:autoSpaceDN w:val="0"/>
        <w:spacing w:after="0" w:line="360" w:lineRule="auto"/>
        <w:jc w:val="both"/>
        <w:rPr>
          <w:rFonts w:hint="eastAsia" w:ascii="仿宋_GB2312" w:hAnsi="仿宋_GB2312" w:eastAsia="仿宋_GB2312" w:cs="仿宋_GB2312"/>
          <w:bCs/>
          <w:kern w:val="2"/>
          <w:sz w:val="32"/>
          <w:szCs w:val="32"/>
          <w:shd w:val="clear" w:color="auto" w:fill="FFFFFF"/>
        </w:rPr>
      </w:pPr>
    </w:p>
    <w:p w14:paraId="40EAC1CE">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bCs/>
          <w:kern w:val="28"/>
          <w:sz w:val="32"/>
          <w:szCs w:val="32"/>
          <w:shd w:val="clear" w:color="auto" w:fill="FFFFFF"/>
          <w:lang w:val="en-US" w:eastAsia="zh-CN" w:bidi="ar-SA"/>
        </w:rPr>
      </w:pPr>
    </w:p>
    <w:p w14:paraId="0919DA40">
      <w:pPr>
        <w:widowControl w:val="0"/>
        <w:overflowPunct w:val="0"/>
        <w:autoSpaceDE w:val="0"/>
        <w:autoSpaceDN w:val="0"/>
        <w:adjustRightInd w:val="0"/>
        <w:spacing w:after="0" w:line="360" w:lineRule="auto"/>
        <w:jc w:val="both"/>
        <w:textAlignment w:val="baseline"/>
        <w:rPr>
          <w:rFonts w:hint="eastAsia" w:ascii="仿宋_GB2312" w:hAnsi="仿宋_GB2312" w:eastAsia="仿宋_GB2312" w:cs="仿宋_GB2312"/>
          <w:kern w:val="28"/>
          <w:sz w:val="32"/>
          <w:szCs w:val="32"/>
          <w:lang w:val="en-US" w:eastAsia="zh-CN" w:bidi="ar-SA"/>
        </w:rPr>
      </w:pPr>
      <w:r>
        <w:rPr>
          <w:rFonts w:hint="eastAsia" w:ascii="仿宋_GB2312" w:hAnsi="仿宋_GB2312" w:eastAsia="仿宋_GB2312" w:cs="仿宋_GB2312"/>
          <w:kern w:val="28"/>
          <w:sz w:val="32"/>
          <w:szCs w:val="32"/>
          <w:lang w:val="en-US" w:eastAsia="zh-CN" w:bidi="ar-SA"/>
        </w:rPr>
        <w:t xml:space="preserve">                                     福建省肿瘤医院</w:t>
      </w:r>
    </w:p>
    <w:p w14:paraId="529A0EE8">
      <w:pPr>
        <w:widowControl w:val="0"/>
        <w:overflowPunct w:val="0"/>
        <w:autoSpaceDE w:val="0"/>
        <w:autoSpaceDN w:val="0"/>
        <w:adjustRightInd w:val="0"/>
        <w:spacing w:after="0" w:line="360" w:lineRule="auto"/>
        <w:jc w:val="both"/>
        <w:textAlignment w:val="baseline"/>
        <w:rPr>
          <w:rFonts w:hint="eastAsia"/>
          <w:sz w:val="28"/>
          <w:szCs w:val="28"/>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kern w:val="28"/>
          <w:sz w:val="32"/>
          <w:szCs w:val="32"/>
          <w:lang w:val="en-US" w:eastAsia="zh-CN" w:bidi="ar-SA"/>
        </w:rPr>
        <w:t xml:space="preserve">                                        年  月  日</w:t>
      </w:r>
    </w:p>
    <w:p w14:paraId="276A26FE">
      <w:pPr>
        <w:spacing w:line="360" w:lineRule="auto"/>
        <w:rPr>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8C5634"/>
    <w:multiLevelType w:val="singleLevel"/>
    <w:tmpl w:val="C98C5634"/>
    <w:lvl w:ilvl="0" w:tentative="0">
      <w:start w:val="1"/>
      <w:numFmt w:val="decimal"/>
      <w:suff w:val="nothing"/>
      <w:lvlText w:val="%1、"/>
      <w:lvlJc w:val="left"/>
    </w:lvl>
  </w:abstractNum>
  <w:abstractNum w:abstractNumId="1">
    <w:nsid w:val="D1DB28E3"/>
    <w:multiLevelType w:val="singleLevel"/>
    <w:tmpl w:val="D1DB28E3"/>
    <w:lvl w:ilvl="0" w:tentative="0">
      <w:start w:val="1"/>
      <w:numFmt w:val="chineseCounting"/>
      <w:suff w:val="nothing"/>
      <w:lvlText w:val="%1、"/>
      <w:lvlJc w:val="left"/>
      <w:rPr>
        <w:rFonts w:hint="eastAsia"/>
      </w:rPr>
    </w:lvl>
  </w:abstractNum>
  <w:abstractNum w:abstractNumId="2">
    <w:nsid w:val="5464581E"/>
    <w:multiLevelType w:val="multilevel"/>
    <w:tmpl w:val="5464581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08F"/>
    <w:rsid w:val="0001520C"/>
    <w:rsid w:val="000261DE"/>
    <w:rsid w:val="00083860"/>
    <w:rsid w:val="000938D8"/>
    <w:rsid w:val="0015036D"/>
    <w:rsid w:val="00197F32"/>
    <w:rsid w:val="001C688B"/>
    <w:rsid w:val="001D739B"/>
    <w:rsid w:val="002C6790"/>
    <w:rsid w:val="0033197C"/>
    <w:rsid w:val="00336716"/>
    <w:rsid w:val="003845EC"/>
    <w:rsid w:val="003A4CFC"/>
    <w:rsid w:val="003D42F8"/>
    <w:rsid w:val="004D4B50"/>
    <w:rsid w:val="005024FF"/>
    <w:rsid w:val="00573C32"/>
    <w:rsid w:val="005836B0"/>
    <w:rsid w:val="005A4BFE"/>
    <w:rsid w:val="005D2A90"/>
    <w:rsid w:val="00626290"/>
    <w:rsid w:val="00661FB1"/>
    <w:rsid w:val="0066308F"/>
    <w:rsid w:val="006F0715"/>
    <w:rsid w:val="007113EF"/>
    <w:rsid w:val="007848DA"/>
    <w:rsid w:val="007E3FB5"/>
    <w:rsid w:val="008925E5"/>
    <w:rsid w:val="00937657"/>
    <w:rsid w:val="009C1A48"/>
    <w:rsid w:val="00A218D9"/>
    <w:rsid w:val="00A650EC"/>
    <w:rsid w:val="00A658C4"/>
    <w:rsid w:val="00A86432"/>
    <w:rsid w:val="00B30434"/>
    <w:rsid w:val="00B47D35"/>
    <w:rsid w:val="00BF2BBB"/>
    <w:rsid w:val="00CA2C49"/>
    <w:rsid w:val="00CB3C03"/>
    <w:rsid w:val="00CE5BD1"/>
    <w:rsid w:val="00CE63F2"/>
    <w:rsid w:val="00D97C84"/>
    <w:rsid w:val="00DB3297"/>
    <w:rsid w:val="00DC7002"/>
    <w:rsid w:val="00DE1F02"/>
    <w:rsid w:val="00F527F1"/>
    <w:rsid w:val="00F60AB8"/>
    <w:rsid w:val="00FF1EB3"/>
    <w:rsid w:val="00FF7615"/>
    <w:rsid w:val="01525F9E"/>
    <w:rsid w:val="02E46EDB"/>
    <w:rsid w:val="048D195A"/>
    <w:rsid w:val="067F1777"/>
    <w:rsid w:val="08346719"/>
    <w:rsid w:val="085D3F36"/>
    <w:rsid w:val="0B112BB9"/>
    <w:rsid w:val="0C5C337B"/>
    <w:rsid w:val="11513D10"/>
    <w:rsid w:val="146A52E1"/>
    <w:rsid w:val="15CE31CD"/>
    <w:rsid w:val="1E112B5D"/>
    <w:rsid w:val="1F04572B"/>
    <w:rsid w:val="1F776993"/>
    <w:rsid w:val="20AD0837"/>
    <w:rsid w:val="217C0935"/>
    <w:rsid w:val="24E14A0E"/>
    <w:rsid w:val="25482FD6"/>
    <w:rsid w:val="29A7676B"/>
    <w:rsid w:val="29C16695"/>
    <w:rsid w:val="2A9A62D0"/>
    <w:rsid w:val="2CA214A8"/>
    <w:rsid w:val="2F947B18"/>
    <w:rsid w:val="30061211"/>
    <w:rsid w:val="35542AA5"/>
    <w:rsid w:val="36A75FFC"/>
    <w:rsid w:val="47900C91"/>
    <w:rsid w:val="483343F3"/>
    <w:rsid w:val="49791BAF"/>
    <w:rsid w:val="4B271062"/>
    <w:rsid w:val="514151E5"/>
    <w:rsid w:val="51FC6DA4"/>
    <w:rsid w:val="523560D6"/>
    <w:rsid w:val="5560352D"/>
    <w:rsid w:val="55AA4D69"/>
    <w:rsid w:val="55F21D17"/>
    <w:rsid w:val="57B114D5"/>
    <w:rsid w:val="5B852E50"/>
    <w:rsid w:val="5BEF0C8B"/>
    <w:rsid w:val="5E842372"/>
    <w:rsid w:val="609A4358"/>
    <w:rsid w:val="667B53E5"/>
    <w:rsid w:val="66BE6679"/>
    <w:rsid w:val="6CD354EF"/>
    <w:rsid w:val="6E6E29DA"/>
    <w:rsid w:val="6FC439BB"/>
    <w:rsid w:val="70290C0C"/>
    <w:rsid w:val="7557320A"/>
    <w:rsid w:val="780C1937"/>
    <w:rsid w:val="7855070D"/>
    <w:rsid w:val="78F11383"/>
    <w:rsid w:val="7D8116A0"/>
    <w:rsid w:val="7E825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kern w:val="0"/>
      <w:sz w:val="24"/>
      <w:szCs w:val="24"/>
      <w:lang w:val="en-US" w:eastAsia="zh-CN" w:bidi="ar-SA"/>
    </w:rPr>
  </w:style>
  <w:style w:type="paragraph" w:styleId="3">
    <w:name w:val="heading 1"/>
    <w:basedOn w:val="1"/>
    <w:next w:val="1"/>
    <w:link w:val="20"/>
    <w:qFormat/>
    <w:uiPriority w:val="9"/>
    <w:pPr>
      <w:keepNext/>
      <w:keepLines/>
      <w:widowControl w:val="0"/>
      <w:spacing w:before="480" w:after="80"/>
      <w:jc w:val="both"/>
      <w:outlineLvl w:val="0"/>
    </w:pPr>
    <w:rPr>
      <w:rFonts w:asciiTheme="majorHAnsi" w:hAnsiTheme="majorHAnsi" w:eastAsiaTheme="majorEastAsia" w:cstheme="majorBidi"/>
      <w:color w:val="2F5597" w:themeColor="accent1" w:themeShade="BF"/>
      <w:kern w:val="2"/>
      <w:sz w:val="48"/>
      <w:szCs w:val="48"/>
    </w:rPr>
  </w:style>
  <w:style w:type="paragraph" w:styleId="4">
    <w:name w:val="heading 2"/>
    <w:basedOn w:val="1"/>
    <w:next w:val="1"/>
    <w:link w:val="21"/>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2F5597" w:themeColor="accent1" w:themeShade="BF"/>
      <w:kern w:val="2"/>
      <w:sz w:val="40"/>
      <w:szCs w:val="40"/>
    </w:rPr>
  </w:style>
  <w:style w:type="paragraph" w:styleId="5">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23"/>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4"/>
    <w:semiHidden/>
    <w:unhideWhenUsed/>
    <w:qFormat/>
    <w:uiPriority w:val="9"/>
    <w:pPr>
      <w:keepNext/>
      <w:keepLines/>
      <w:spacing w:before="80" w:after="40"/>
      <w:outlineLvl w:val="4"/>
    </w:pPr>
    <w:rPr>
      <w:rFonts w:cstheme="majorBidi"/>
      <w:color w:val="2F5597" w:themeColor="accent1" w:themeShade="BF"/>
    </w:rPr>
  </w:style>
  <w:style w:type="paragraph" w:styleId="8">
    <w:name w:val="heading 6"/>
    <w:basedOn w:val="1"/>
    <w:next w:val="1"/>
    <w:link w:val="25"/>
    <w:semiHidden/>
    <w:unhideWhenUsed/>
    <w:qFormat/>
    <w:uiPriority w:val="9"/>
    <w:pPr>
      <w:keepNext/>
      <w:keepLines/>
      <w:spacing w:before="40"/>
      <w:outlineLvl w:val="5"/>
    </w:pPr>
    <w:rPr>
      <w:rFonts w:cstheme="majorBidi"/>
      <w:b/>
      <w:bCs/>
      <w:color w:val="2F5597" w:themeColor="accent1" w:themeShade="BF"/>
    </w:rPr>
  </w:style>
  <w:style w:type="paragraph" w:styleId="9">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customStyle="1" w:styleId="2">
    <w:name w:val="Fließtext"/>
    <w:qFormat/>
    <w:uiPriority w:val="0"/>
    <w:pPr>
      <w:widowControl w:val="0"/>
      <w:overflowPunct w:val="0"/>
      <w:autoSpaceDE w:val="0"/>
      <w:autoSpaceDN w:val="0"/>
      <w:adjustRightInd w:val="0"/>
      <w:spacing w:after="160" w:line="278" w:lineRule="auto"/>
      <w:jc w:val="both"/>
      <w:textAlignment w:val="baseline"/>
    </w:pPr>
    <w:rPr>
      <w:rFonts w:ascii="Calibri" w:hAnsi="Calibri" w:eastAsia="仿宋_GB2312" w:cs="黑体"/>
      <w:kern w:val="28"/>
      <w:sz w:val="24"/>
      <w:szCs w:val="20"/>
      <w:lang w:val="en-US" w:eastAsia="zh-CN" w:bidi="ar-SA"/>
    </w:rPr>
  </w:style>
  <w:style w:type="paragraph" w:styleId="12">
    <w:name w:val="footer"/>
    <w:basedOn w:val="1"/>
    <w:link w:val="39"/>
    <w:unhideWhenUsed/>
    <w:qFormat/>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13">
    <w:name w:val="header"/>
    <w:basedOn w:val="1"/>
    <w:link w:val="38"/>
    <w:unhideWhenUsed/>
    <w:qFormat/>
    <w:uiPriority w:val="99"/>
    <w:pPr>
      <w:widowControl w:val="0"/>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14">
    <w:name w:val="Subtitle"/>
    <w:basedOn w:val="1"/>
    <w:next w:val="1"/>
    <w:link w:val="30"/>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paragraph" w:styleId="15">
    <w:name w:val="Normal (Web)"/>
    <w:basedOn w:val="1"/>
    <w:qFormat/>
    <w:uiPriority w:val="0"/>
    <w:pPr>
      <w:widowControl w:val="0"/>
      <w:spacing w:after="160" w:line="336" w:lineRule="auto"/>
    </w:pPr>
    <w:rPr>
      <w:rFonts w:cs="黑体"/>
    </w:rPr>
  </w:style>
  <w:style w:type="paragraph" w:styleId="16">
    <w:name w:val="Title"/>
    <w:basedOn w:val="1"/>
    <w:next w:val="1"/>
    <w:link w:val="29"/>
    <w:qFormat/>
    <w:uiPriority w:val="10"/>
    <w:pPr>
      <w:widowControl w:val="0"/>
      <w:spacing w:after="80"/>
      <w:contextualSpacing/>
      <w:jc w:val="center"/>
    </w:pPr>
    <w:rPr>
      <w:rFonts w:asciiTheme="majorHAnsi" w:hAnsiTheme="majorHAnsi" w:eastAsiaTheme="majorEastAsia" w:cstheme="majorBidi"/>
      <w:spacing w:val="-10"/>
      <w:kern w:val="28"/>
      <w:sz w:val="56"/>
      <w:szCs w:val="56"/>
    </w:rPr>
  </w:style>
  <w:style w:type="table" w:styleId="18">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
    <w:name w:val="标题 1 字符"/>
    <w:basedOn w:val="19"/>
    <w:link w:val="3"/>
    <w:qFormat/>
    <w:uiPriority w:val="9"/>
    <w:rPr>
      <w:rFonts w:asciiTheme="majorHAnsi" w:hAnsiTheme="majorHAnsi" w:eastAsiaTheme="majorEastAsia" w:cstheme="majorBidi"/>
      <w:color w:val="2F5597" w:themeColor="accent1" w:themeShade="BF"/>
      <w:sz w:val="48"/>
      <w:szCs w:val="48"/>
    </w:rPr>
  </w:style>
  <w:style w:type="character" w:customStyle="1" w:styleId="21">
    <w:name w:val="标题 2 字符"/>
    <w:basedOn w:val="19"/>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22">
    <w:name w:val="标题 3 字符"/>
    <w:basedOn w:val="19"/>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标题 4 字符"/>
    <w:basedOn w:val="19"/>
    <w:link w:val="6"/>
    <w:semiHidden/>
    <w:qFormat/>
    <w:uiPriority w:val="9"/>
    <w:rPr>
      <w:rFonts w:cstheme="majorBidi"/>
      <w:color w:val="2F5597" w:themeColor="accent1" w:themeShade="BF"/>
      <w:sz w:val="28"/>
      <w:szCs w:val="28"/>
    </w:rPr>
  </w:style>
  <w:style w:type="character" w:customStyle="1" w:styleId="24">
    <w:name w:val="标题 5 字符"/>
    <w:basedOn w:val="19"/>
    <w:link w:val="7"/>
    <w:semiHidden/>
    <w:qFormat/>
    <w:uiPriority w:val="9"/>
    <w:rPr>
      <w:rFonts w:cstheme="majorBidi"/>
      <w:color w:val="2F5597" w:themeColor="accent1" w:themeShade="BF"/>
      <w:sz w:val="24"/>
      <w:szCs w:val="24"/>
    </w:rPr>
  </w:style>
  <w:style w:type="character" w:customStyle="1" w:styleId="25">
    <w:name w:val="标题 6 字符"/>
    <w:basedOn w:val="19"/>
    <w:link w:val="8"/>
    <w:semiHidden/>
    <w:qFormat/>
    <w:uiPriority w:val="9"/>
    <w:rPr>
      <w:rFonts w:cstheme="majorBidi"/>
      <w:b/>
      <w:bCs/>
      <w:color w:val="2F5597" w:themeColor="accent1" w:themeShade="BF"/>
    </w:rPr>
  </w:style>
  <w:style w:type="character" w:customStyle="1" w:styleId="26">
    <w:name w:val="标题 7 字符"/>
    <w:basedOn w:val="19"/>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9"/>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9"/>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9"/>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32">
    <w:name w:val="引用 字符"/>
    <w:basedOn w:val="19"/>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widowControl w:val="0"/>
      <w:ind w:left="720"/>
      <w:contextualSpacing/>
      <w:jc w:val="both"/>
    </w:pPr>
    <w:rPr>
      <w:rFonts w:asciiTheme="minorHAnsi" w:hAnsiTheme="minorHAnsi" w:eastAsiaTheme="minorEastAsia" w:cstheme="minorBidi"/>
      <w:kern w:val="2"/>
      <w:sz w:val="21"/>
      <w:szCs w:val="22"/>
    </w:rPr>
  </w:style>
  <w:style w:type="character" w:customStyle="1" w:styleId="34">
    <w:name w:val="Intense Emphasis"/>
    <w:basedOn w:val="19"/>
    <w:qFormat/>
    <w:uiPriority w:val="21"/>
    <w:rPr>
      <w:i/>
      <w:iCs/>
      <w:color w:val="2F5597" w:themeColor="accent1" w:themeShade="BF"/>
    </w:rPr>
  </w:style>
  <w:style w:type="paragraph" w:styleId="35">
    <w:name w:val="Intense Quote"/>
    <w:basedOn w:val="1"/>
    <w:next w:val="1"/>
    <w:link w:val="36"/>
    <w:qFormat/>
    <w:uiPriority w:val="30"/>
    <w:pPr>
      <w:widowControl w:val="0"/>
      <w:pBdr>
        <w:top w:val="single" w:color="2F5496" w:themeColor="accent1" w:themeShade="BF" w:sz="4" w:space="10"/>
        <w:bottom w:val="single" w:color="2F5496" w:themeColor="accent1" w:themeShade="BF" w:sz="4" w:space="10"/>
      </w:pBdr>
      <w:spacing w:before="360" w:after="360"/>
      <w:ind w:left="864" w:right="864"/>
      <w:jc w:val="center"/>
    </w:pPr>
    <w:rPr>
      <w:rFonts w:asciiTheme="minorHAnsi" w:hAnsiTheme="minorHAnsi" w:eastAsiaTheme="minorEastAsia" w:cstheme="minorBidi"/>
      <w:i/>
      <w:iCs/>
      <w:color w:val="2F5597" w:themeColor="accent1" w:themeShade="BF"/>
      <w:kern w:val="2"/>
      <w:sz w:val="21"/>
      <w:szCs w:val="22"/>
    </w:rPr>
  </w:style>
  <w:style w:type="character" w:customStyle="1" w:styleId="36">
    <w:name w:val="明显引用 字符"/>
    <w:basedOn w:val="19"/>
    <w:link w:val="35"/>
    <w:qFormat/>
    <w:uiPriority w:val="30"/>
    <w:rPr>
      <w:i/>
      <w:iCs/>
      <w:color w:val="2F5597" w:themeColor="accent1" w:themeShade="BF"/>
    </w:rPr>
  </w:style>
  <w:style w:type="character" w:customStyle="1" w:styleId="37">
    <w:name w:val="Intense Reference"/>
    <w:basedOn w:val="19"/>
    <w:qFormat/>
    <w:uiPriority w:val="32"/>
    <w:rPr>
      <w:b/>
      <w:bCs/>
      <w:smallCaps/>
      <w:color w:val="2F5597" w:themeColor="accent1" w:themeShade="BF"/>
      <w:spacing w:val="5"/>
    </w:rPr>
  </w:style>
  <w:style w:type="character" w:customStyle="1" w:styleId="38">
    <w:name w:val="页眉 字符"/>
    <w:basedOn w:val="19"/>
    <w:link w:val="13"/>
    <w:qFormat/>
    <w:uiPriority w:val="99"/>
    <w:rPr>
      <w:sz w:val="18"/>
      <w:szCs w:val="18"/>
    </w:rPr>
  </w:style>
  <w:style w:type="character" w:customStyle="1" w:styleId="39">
    <w:name w:val="页脚 字符"/>
    <w:basedOn w:val="19"/>
    <w:link w:val="1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5643</Words>
  <Characters>6003</Characters>
  <Lines>12</Lines>
  <Paragraphs>3</Paragraphs>
  <TotalTime>3</TotalTime>
  <ScaleCrop>false</ScaleCrop>
  <LinksUpToDate>false</LinksUpToDate>
  <CharactersWithSpaces>6125</CharactersWithSpaces>
  <Application>WPS Office_12.1.0.24031_F1E327BC-269C-435d-A152-05C5408002CA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2026-05-22T07:04:00Z</dcterms:created>
  <dc:creator>晨 江</dc:creator>
  <cp:lastModifiedBy>郑薇</cp:lastModifiedBy>
  <dcterms:modified xsi:type="dcterms:W3CDTF">2026-08-31T04:40:36Z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eyJoZGlkIjoiNzRlNzZiNjE1N2NiNDY1MjdjNTllOWUxMWU4Y2ZiZGQiLCJ1c2VySWQiOiIxNzAyMzQ4MDU4In0=</vt:lpwstr>
  </property>
  <property fmtid="{D5CDD505-2E9C-101B-9397-08002B2CF9AE}" pid="3" name="KSOProductBuildVer">
    <vt:lpwstr>2052-12.1.0.24031</vt:lpwstr>
  </property>
  <property fmtid="{D5CDD505-2E9C-101B-9397-08002B2CF9AE}" pid="4" name="ICV">
    <vt:lpwstr>D2CDF39AEDE94CE683AA193E73E0F2DE_13</vt:lpwstr>
  </property>
</Properties>
</file>