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9CD970">
      <w:pPr>
        <w:pStyle w:val="2"/>
        <w:spacing w:line="360" w:lineRule="auto"/>
        <w:jc w:val="center"/>
        <w:rPr>
          <w:rFonts w:hint="eastAsia" w:ascii="仿宋_GB2312" w:hAnsi="仿宋_GB2312" w:eastAsia="方正小标宋简体" w:cs="仿宋_GB2312"/>
          <w:b w:val="0"/>
          <w:kern w:val="2"/>
          <w:sz w:val="32"/>
          <w:szCs w:val="32"/>
        </w:rPr>
      </w:pPr>
      <w:r>
        <w:rPr>
          <w:rFonts w:hint="eastAsia" w:ascii="方正小标宋简体" w:hAnsi="方正小标宋简体" w:eastAsia="方正小标宋简体" w:cs="方正小标宋简体"/>
          <w:b w:val="0"/>
          <w:kern w:val="2"/>
          <w:szCs w:val="44"/>
        </w:rPr>
        <w:t>福建省肿瘤医院</w:t>
      </w:r>
      <w:r>
        <w:rPr>
          <w:rFonts w:hint="eastAsia" w:ascii="方正小标宋简体" w:hAnsi="方正小标宋简体" w:eastAsia="方正小标宋简体" w:cs="方正小标宋简体"/>
          <w:b w:val="0"/>
          <w:kern w:val="2"/>
          <w:szCs w:val="44"/>
          <w:lang w:val="en-US" w:eastAsia="zh-CN"/>
        </w:rPr>
        <w:t>采购</w:t>
      </w:r>
      <w:r>
        <w:rPr>
          <w:rFonts w:hint="eastAsia" w:ascii="方正小标宋简体" w:hAnsi="方正小标宋简体" w:eastAsia="方正小标宋简体" w:cs="方正小标宋简体"/>
          <w:b w:val="0"/>
          <w:kern w:val="2"/>
          <w:szCs w:val="44"/>
        </w:rPr>
        <w:t>调研公告</w:t>
      </w:r>
    </w:p>
    <w:p w14:paraId="163AA4BD">
      <w:pPr>
        <w:widowControl/>
        <w:shd w:val="clear" w:color="auto" w:fill="FFFFFF"/>
        <w:adjustRightInd w:val="0"/>
        <w:snapToGrid w:val="0"/>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shd w:val="clear" w:color="auto" w:fill="FFFFFF"/>
        </w:rPr>
        <w:t>第一部分 须知前附表</w:t>
      </w:r>
    </w:p>
    <w:tbl>
      <w:tblPr>
        <w:tblStyle w:val="9"/>
        <w:tblpPr w:leftFromText="180" w:rightFromText="180" w:vertAnchor="text" w:horzAnchor="page" w:tblpX="1852" w:tblpY="337"/>
        <w:tblOverlap w:val="never"/>
        <w:tblW w:w="8745" w:type="dxa"/>
        <w:tblInd w:w="0" w:type="dxa"/>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Layout w:type="fixed"/>
        <w:tblCellMar>
          <w:top w:w="15" w:type="dxa"/>
          <w:left w:w="15" w:type="dxa"/>
          <w:bottom w:w="15" w:type="dxa"/>
          <w:right w:w="15" w:type="dxa"/>
        </w:tblCellMar>
      </w:tblPr>
      <w:tblGrid>
        <w:gridCol w:w="964"/>
        <w:gridCol w:w="7781"/>
      </w:tblGrid>
      <w:tr w14:paraId="77513BE0">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549" w:hRule="atLeast"/>
        </w:trPr>
        <w:tc>
          <w:tcPr>
            <w:tcW w:w="964" w:type="dxa"/>
            <w:tcBorders>
              <w:top w:val="single" w:color="000000" w:sz="8" w:space="0"/>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27B5F626">
            <w:pPr>
              <w:pStyle w:val="7"/>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sz w:val="32"/>
                <w:szCs w:val="32"/>
              </w:rPr>
              <w:t>序号</w:t>
            </w:r>
          </w:p>
        </w:tc>
        <w:tc>
          <w:tcPr>
            <w:tcW w:w="7781" w:type="dxa"/>
            <w:tcBorders>
              <w:top w:val="single" w:color="000000" w:sz="8" w:space="0"/>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33C1A09A">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b/>
                <w:color w:val="000000"/>
                <w:kern w:val="0"/>
                <w:sz w:val="32"/>
                <w:szCs w:val="32"/>
              </w:rPr>
              <w:t>主　　　要　　　 内　　　 容</w:t>
            </w:r>
          </w:p>
        </w:tc>
      </w:tr>
      <w:tr w14:paraId="3E8AF67A">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1CE1BBC">
            <w:pPr>
              <w:widowControl/>
              <w:spacing w:line="360" w:lineRule="auto"/>
              <w:jc w:val="center"/>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1</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1E577788">
            <w:pPr>
              <w:widowControl/>
              <w:spacing w:line="360" w:lineRule="auto"/>
              <w:rPr>
                <w:rFonts w:hint="default" w:ascii="仿宋_GB2312" w:hAnsi="仿宋_GB2312" w:eastAsia="仿宋_GB2312" w:cs="仿宋_GB2312"/>
                <w:color w:val="000000"/>
                <w:kern w:val="0"/>
                <w:sz w:val="32"/>
                <w:szCs w:val="32"/>
                <w:lang w:val="en-US" w:eastAsia="zh-CN"/>
              </w:rPr>
            </w:pPr>
            <w:r>
              <w:rPr>
                <w:rFonts w:hint="eastAsia" w:ascii="仿宋_GB2312" w:hAnsi="仿宋_GB2312" w:eastAsia="仿宋_GB2312" w:cs="仿宋_GB2312"/>
                <w:color w:val="000000"/>
                <w:kern w:val="0"/>
                <w:sz w:val="32"/>
                <w:szCs w:val="32"/>
              </w:rPr>
              <w:t>项目名称：</w:t>
            </w:r>
            <w:r>
              <w:rPr>
                <w:rFonts w:hint="eastAsia" w:ascii="仿宋_GB2312" w:hAnsi="仿宋_GB2312" w:eastAsia="仿宋_GB2312" w:cs="仿宋_GB2312"/>
                <w:color w:val="000000"/>
                <w:kern w:val="0"/>
                <w:sz w:val="32"/>
                <w:szCs w:val="32"/>
                <w:lang w:val="en-US" w:eastAsia="zh-CN"/>
              </w:rPr>
              <w:t>医院短信推送服务项目</w:t>
            </w:r>
          </w:p>
        </w:tc>
      </w:tr>
      <w:tr w14:paraId="37658CEB">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444"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0C5B06D">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2</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B34FE41">
            <w:pPr>
              <w:spacing w:line="360" w:lineRule="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调研报名时间：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w:t>
            </w:r>
            <w:r>
              <w:rPr>
                <w:rFonts w:hint="eastAsia" w:ascii="仿宋_GB2312" w:hAnsi="仿宋_GB2312" w:eastAsia="仿宋_GB2312" w:cs="仿宋_GB2312"/>
                <w:color w:val="000000"/>
                <w:kern w:val="0"/>
                <w:sz w:val="32"/>
                <w:szCs w:val="32"/>
                <w:highlight w:val="none"/>
              </w:rPr>
              <w:t>年</w:t>
            </w:r>
            <w:r>
              <w:rPr>
                <w:rFonts w:hint="eastAsia" w:ascii="仿宋_GB2312" w:hAnsi="仿宋_GB2312" w:eastAsia="仿宋_GB2312" w:cs="仿宋_GB2312"/>
                <w:color w:val="000000"/>
                <w:kern w:val="0"/>
                <w:sz w:val="32"/>
                <w:szCs w:val="32"/>
                <w:highlight w:val="none"/>
                <w:u w:val="single"/>
                <w:lang w:val="en-US" w:eastAsia="zh-CN"/>
              </w:rPr>
              <w:t>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23</w:t>
            </w:r>
            <w:r>
              <w:rPr>
                <w:rFonts w:hint="eastAsia" w:ascii="仿宋_GB2312" w:hAnsi="仿宋_GB2312" w:eastAsia="仿宋_GB2312" w:cs="仿宋_GB2312"/>
                <w:color w:val="000000"/>
                <w:kern w:val="0"/>
                <w:sz w:val="32"/>
                <w:szCs w:val="32"/>
                <w:highlight w:val="none"/>
              </w:rPr>
              <w:t xml:space="preserve">日至 </w:t>
            </w:r>
            <w:r>
              <w:rPr>
                <w:rFonts w:hint="eastAsia" w:ascii="仿宋_GB2312" w:hAnsi="仿宋_GB2312" w:eastAsia="仿宋_GB2312" w:cs="仿宋_GB2312"/>
                <w:color w:val="000000"/>
                <w:kern w:val="0"/>
                <w:sz w:val="32"/>
                <w:szCs w:val="32"/>
                <w:highlight w:val="none"/>
                <w:u w:val="single"/>
                <w:lang w:val="en-US" w:eastAsia="zh-CN"/>
              </w:rPr>
              <w:t>1</w:t>
            </w:r>
            <w:r>
              <w:rPr>
                <w:rFonts w:hint="eastAsia" w:ascii="仿宋_GB2312" w:hAnsi="仿宋_GB2312" w:eastAsia="仿宋_GB2312" w:cs="仿宋_GB2312"/>
                <w:color w:val="000000"/>
                <w:kern w:val="0"/>
                <w:sz w:val="32"/>
                <w:szCs w:val="32"/>
                <w:highlight w:val="none"/>
              </w:rPr>
              <w:t>月</w:t>
            </w:r>
            <w:r>
              <w:rPr>
                <w:rFonts w:hint="eastAsia" w:ascii="仿宋_GB2312" w:hAnsi="仿宋_GB2312" w:eastAsia="仿宋_GB2312" w:cs="仿宋_GB2312"/>
                <w:color w:val="000000"/>
                <w:kern w:val="0"/>
                <w:sz w:val="32"/>
                <w:szCs w:val="32"/>
                <w:highlight w:val="none"/>
                <w:u w:val="single"/>
                <w:lang w:val="en-US" w:eastAsia="zh-CN"/>
              </w:rPr>
              <w:t>29</w:t>
            </w:r>
            <w:r>
              <w:rPr>
                <w:rFonts w:hint="eastAsia" w:ascii="仿宋_GB2312" w:hAnsi="仿宋_GB2312" w:eastAsia="仿宋_GB2312" w:cs="仿宋_GB2312"/>
                <w:color w:val="000000"/>
                <w:kern w:val="0"/>
                <w:sz w:val="32"/>
                <w:szCs w:val="32"/>
                <w:highlight w:val="none"/>
              </w:rPr>
              <w:t xml:space="preserve">日 </w:t>
            </w:r>
            <w:r>
              <w:rPr>
                <w:rFonts w:hint="eastAsia" w:ascii="仿宋_GB2312" w:hAnsi="仿宋_GB2312" w:eastAsia="仿宋_GB2312" w:cs="仿宋_GB2312"/>
                <w:color w:val="000000"/>
                <w:spacing w:val="-8"/>
                <w:kern w:val="0"/>
                <w:sz w:val="32"/>
                <w:szCs w:val="32"/>
                <w:shd w:val="clear" w:color="auto" w:fill="FFFFFF"/>
              </w:rPr>
              <w:t>(节假日除外)8：00-12：00或14：</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0-17：</w:t>
            </w:r>
            <w:r>
              <w:rPr>
                <w:rFonts w:hint="eastAsia" w:ascii="仿宋_GB2312" w:hAnsi="仿宋_GB2312" w:eastAsia="仿宋_GB2312" w:cs="仿宋_GB2312"/>
                <w:color w:val="000000"/>
                <w:spacing w:val="-8"/>
                <w:kern w:val="0"/>
                <w:sz w:val="32"/>
                <w:szCs w:val="32"/>
                <w:shd w:val="clear" w:color="auto" w:fill="FFFFFF"/>
                <w:lang w:val="en-US" w:eastAsia="zh-CN"/>
              </w:rPr>
              <w:t>0</w:t>
            </w:r>
            <w:r>
              <w:rPr>
                <w:rFonts w:hint="eastAsia" w:ascii="仿宋_GB2312" w:hAnsi="仿宋_GB2312" w:eastAsia="仿宋_GB2312" w:cs="仿宋_GB2312"/>
                <w:color w:val="000000"/>
                <w:spacing w:val="-8"/>
                <w:kern w:val="0"/>
                <w:sz w:val="32"/>
                <w:szCs w:val="32"/>
                <w:shd w:val="clear" w:color="auto" w:fill="FFFFFF"/>
              </w:rPr>
              <w:t>0(北京时间）</w:t>
            </w:r>
          </w:p>
          <w:p w14:paraId="1930621E">
            <w:pPr>
              <w:widowControl/>
              <w:spacing w:line="360" w:lineRule="auto"/>
              <w:rPr>
                <w:rFonts w:hint="eastAsia" w:ascii="仿宋_GB2312" w:hAnsi="仿宋_GB2312" w:eastAsia="仿宋_GB2312" w:cs="仿宋_GB2312"/>
                <w:color w:val="000000"/>
                <w:kern w:val="0"/>
                <w:sz w:val="32"/>
                <w:szCs w:val="32"/>
                <w:u w:val="single"/>
              </w:rPr>
            </w:pPr>
            <w:r>
              <w:rPr>
                <w:rFonts w:hint="eastAsia" w:ascii="仿宋_GB2312" w:hAnsi="仿宋_GB2312" w:eastAsia="仿宋_GB2312" w:cs="仿宋_GB2312"/>
                <w:color w:val="000000"/>
                <w:kern w:val="0"/>
                <w:sz w:val="32"/>
                <w:szCs w:val="32"/>
              </w:rPr>
              <w:t>调研会时间： 202</w:t>
            </w:r>
            <w:r>
              <w:rPr>
                <w:rFonts w:hint="eastAsia" w:ascii="仿宋_GB2312" w:hAnsi="仿宋_GB2312" w:eastAsia="仿宋_GB2312" w:cs="仿宋_GB2312"/>
                <w:color w:val="000000"/>
                <w:kern w:val="0"/>
                <w:sz w:val="32"/>
                <w:szCs w:val="32"/>
                <w:lang w:val="en-US" w:eastAsia="zh-CN"/>
              </w:rPr>
              <w:t>6</w:t>
            </w:r>
            <w:r>
              <w:rPr>
                <w:rFonts w:hint="eastAsia" w:ascii="仿宋_GB2312" w:hAnsi="仿宋_GB2312" w:eastAsia="仿宋_GB2312" w:cs="仿宋_GB2312"/>
                <w:color w:val="000000"/>
                <w:kern w:val="0"/>
                <w:sz w:val="32"/>
                <w:szCs w:val="32"/>
              </w:rPr>
              <w:t xml:space="preserve"> 年</w:t>
            </w:r>
            <w:r>
              <w:rPr>
                <w:rFonts w:hint="eastAsia" w:ascii="仿宋_GB2312" w:hAnsi="仿宋_GB2312" w:eastAsia="仿宋_GB2312" w:cs="仿宋_GB2312"/>
                <w:color w:val="000000"/>
                <w:kern w:val="0"/>
                <w:sz w:val="32"/>
                <w:szCs w:val="32"/>
                <w:u w:val="single"/>
                <w:lang w:val="en-US" w:eastAsia="zh-CN"/>
              </w:rPr>
              <w:t>2</w:t>
            </w:r>
            <w:r>
              <w:rPr>
                <w:rFonts w:hint="eastAsia" w:ascii="仿宋_GB2312" w:hAnsi="仿宋_GB2312" w:eastAsia="仿宋_GB2312" w:cs="仿宋_GB2312"/>
                <w:color w:val="000000"/>
                <w:kern w:val="0"/>
                <w:sz w:val="32"/>
                <w:szCs w:val="32"/>
              </w:rPr>
              <w:t xml:space="preserve">月 </w:t>
            </w:r>
            <w:r>
              <w:rPr>
                <w:rFonts w:hint="eastAsia" w:ascii="仿宋_GB2312" w:hAnsi="仿宋_GB2312" w:eastAsia="仿宋_GB2312" w:cs="仿宋_GB2312"/>
                <w:color w:val="000000"/>
                <w:kern w:val="0"/>
                <w:sz w:val="32"/>
                <w:szCs w:val="32"/>
                <w:highlight w:val="none"/>
                <w:u w:val="single"/>
                <w:lang w:val="en-US" w:eastAsia="zh-CN"/>
              </w:rPr>
              <w:t>4</w:t>
            </w:r>
            <w:r>
              <w:rPr>
                <w:rFonts w:hint="eastAsia" w:ascii="仿宋_GB2312" w:hAnsi="仿宋_GB2312" w:eastAsia="仿宋_GB2312" w:cs="仿宋_GB2312"/>
                <w:color w:val="000000"/>
                <w:kern w:val="0"/>
                <w:sz w:val="32"/>
                <w:szCs w:val="32"/>
              </w:rPr>
              <w:t xml:space="preserve">日 </w:t>
            </w:r>
            <w:r>
              <w:rPr>
                <w:rFonts w:hint="eastAsia" w:ascii="仿宋_GB2312" w:hAnsi="仿宋_GB2312" w:eastAsia="仿宋_GB2312" w:cs="仿宋_GB2312"/>
                <w:color w:val="000000"/>
                <w:kern w:val="0"/>
                <w:sz w:val="32"/>
                <w:szCs w:val="32"/>
                <w:lang w:val="en-US" w:eastAsia="zh-CN"/>
              </w:rPr>
              <w:t>14</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rPr>
              <w:t>0</w:t>
            </w:r>
          </w:p>
        </w:tc>
      </w:tr>
      <w:tr w14:paraId="504DB042">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85"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780D751E">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3</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6516931B">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sz w:val="32"/>
                <w:szCs w:val="32"/>
              </w:rPr>
              <w:t>投标文件正本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份,副本</w:t>
            </w:r>
            <w:r>
              <w:rPr>
                <w:rFonts w:hint="eastAsia" w:ascii="仿宋_GB2312" w:hAnsi="仿宋_GB2312" w:eastAsia="仿宋_GB2312" w:cs="仿宋_GB2312"/>
                <w:bCs/>
                <w:color w:val="000000"/>
                <w:sz w:val="32"/>
                <w:szCs w:val="32"/>
                <w:u w:val="single"/>
              </w:rPr>
              <w:t>壹</w:t>
            </w:r>
            <w:r>
              <w:rPr>
                <w:rFonts w:hint="eastAsia" w:ascii="仿宋_GB2312" w:hAnsi="仿宋_GB2312" w:eastAsia="仿宋_GB2312" w:cs="仿宋_GB2312"/>
                <w:color w:val="000000"/>
                <w:sz w:val="32"/>
                <w:szCs w:val="32"/>
              </w:rPr>
              <w:t>份胶装并密封加盖投标人公章。文件未胶装将视为无效。</w:t>
            </w:r>
          </w:p>
        </w:tc>
      </w:tr>
      <w:tr w14:paraId="12F3975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50CED743">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4</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478F8AB9">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投标文件递交处：福建省肿瘤医院网络技术中心</w:t>
            </w:r>
          </w:p>
        </w:tc>
      </w:tr>
      <w:tr w14:paraId="76711675">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631"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309011B5">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5</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075020BD">
            <w:pPr>
              <w:widowControl/>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rPr>
              <w:t>上述时间、地点如有变动，以单位届时通知为准。</w:t>
            </w:r>
          </w:p>
        </w:tc>
      </w:tr>
      <w:tr w14:paraId="79C5B849">
        <w:tblPrEx>
          <w:tblBorders>
            <w:top w:val="single" w:color="000000" w:sz="6" w:space="0"/>
            <w:left w:val="single" w:color="000000" w:sz="6" w:space="0"/>
            <w:bottom w:val="single" w:color="000000" w:sz="6" w:space="0"/>
            <w:right w:val="single" w:color="000000" w:sz="6" w:space="0"/>
            <w:insideH w:val="outset" w:color="auto" w:sz="6" w:space="0"/>
            <w:insideV w:val="outset" w:color="auto" w:sz="6" w:space="0"/>
          </w:tblBorders>
          <w:tblCellMar>
            <w:top w:w="15" w:type="dxa"/>
            <w:left w:w="15" w:type="dxa"/>
            <w:bottom w:w="15" w:type="dxa"/>
            <w:right w:w="15" w:type="dxa"/>
          </w:tblCellMar>
        </w:tblPrEx>
        <w:trPr>
          <w:trHeight w:val="1090" w:hRule="atLeast"/>
        </w:trPr>
        <w:tc>
          <w:tcPr>
            <w:tcW w:w="964" w:type="dxa"/>
            <w:tcBorders>
              <w:top w:val="nil"/>
              <w:left w:val="single" w:color="000000" w:sz="8" w:space="0"/>
              <w:bottom w:val="single" w:color="000000" w:sz="8" w:space="0"/>
              <w:right w:val="single" w:color="000000" w:sz="8" w:space="0"/>
            </w:tcBorders>
            <w:shd w:val="clear" w:color="auto" w:fill="FFFFFF"/>
            <w:tcMar>
              <w:top w:w="0" w:type="dxa"/>
              <w:left w:w="108" w:type="dxa"/>
              <w:bottom w:w="0" w:type="dxa"/>
              <w:right w:w="108" w:type="dxa"/>
            </w:tcMar>
            <w:vAlign w:val="center"/>
          </w:tcPr>
          <w:p w14:paraId="6E87FBFF">
            <w:pPr>
              <w:widowControl/>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p>
        </w:tc>
        <w:tc>
          <w:tcPr>
            <w:tcW w:w="7781" w:type="dxa"/>
            <w:tcBorders>
              <w:top w:val="nil"/>
              <w:left w:val="nil"/>
              <w:bottom w:val="single" w:color="000000" w:sz="8" w:space="0"/>
              <w:right w:val="single" w:color="000000" w:sz="8" w:space="0"/>
            </w:tcBorders>
            <w:shd w:val="clear" w:color="auto" w:fill="FFFFFF"/>
            <w:tcMar>
              <w:top w:w="0" w:type="dxa"/>
              <w:left w:w="108" w:type="dxa"/>
              <w:bottom w:w="0" w:type="dxa"/>
              <w:right w:w="108" w:type="dxa"/>
            </w:tcMar>
            <w:vAlign w:val="center"/>
          </w:tcPr>
          <w:p w14:paraId="761F47C0">
            <w:pPr>
              <w:widowControl/>
              <w:shd w:val="clear" w:color="auto" w:fill="FFFFFF"/>
              <w:adjustRightInd w:val="0"/>
              <w:snapToGrid w:val="0"/>
              <w:spacing w:line="360" w:lineRule="auto"/>
              <w:rPr>
                <w:rFonts w:hint="eastAsia" w:ascii="仿宋_GB2312" w:hAnsi="仿宋_GB2312" w:eastAsia="仿宋_GB2312" w:cs="仿宋_GB2312"/>
                <w:sz w:val="32"/>
                <w:szCs w:val="32"/>
              </w:rPr>
            </w:pPr>
            <w:r>
              <w:rPr>
                <w:rFonts w:hint="eastAsia" w:ascii="仿宋_GB2312" w:hAnsi="仿宋_GB2312" w:eastAsia="仿宋_GB2312" w:cs="仿宋_GB2312"/>
                <w:bCs/>
                <w:color w:val="000000"/>
                <w:kern w:val="0"/>
                <w:sz w:val="32"/>
                <w:szCs w:val="32"/>
                <w:shd w:val="clear" w:color="auto" w:fill="FFFFFF"/>
              </w:rPr>
              <w:t>采购报名、采购调研等采购过程中有任何异议，可联系我院监督科室。电话：83660063-8407；83660063-8467。</w:t>
            </w:r>
          </w:p>
        </w:tc>
      </w:tr>
    </w:tbl>
    <w:p w14:paraId="2823D698">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p>
    <w:p w14:paraId="352C6654">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地　址： 福建省福州市福马路420号 </w:t>
      </w:r>
    </w:p>
    <w:p w14:paraId="7BAA3C45">
      <w:pPr>
        <w:widowControl/>
        <w:shd w:val="clear" w:color="auto" w:fill="FFFFFF"/>
        <w:spacing w:line="360" w:lineRule="auto"/>
        <w:ind w:firstLine="420"/>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福建省肿瘤医院科研楼四楼网络技术中心</w:t>
      </w:r>
    </w:p>
    <w:p w14:paraId="6111389B">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邮　编： 350014　 </w:t>
      </w:r>
    </w:p>
    <w:p w14:paraId="2348E968">
      <w:pPr>
        <w:widowControl/>
        <w:shd w:val="clear" w:color="auto" w:fill="FFFFFF"/>
        <w:spacing w:line="360" w:lineRule="auto"/>
        <w:rPr>
          <w:rFonts w:hint="eastAsia" w:ascii="仿宋_GB2312" w:hAnsi="仿宋_GB2312" w:eastAsia="仿宋_GB2312" w:cs="仿宋_GB2312"/>
          <w:bCs/>
          <w:sz w:val="32"/>
          <w:szCs w:val="32"/>
        </w:rPr>
      </w:pPr>
      <w:r>
        <w:rPr>
          <w:rFonts w:hint="eastAsia" w:ascii="仿宋_GB2312" w:hAnsi="仿宋_GB2312" w:eastAsia="仿宋_GB2312" w:cs="仿宋_GB2312"/>
          <w:bCs/>
          <w:color w:val="000000"/>
          <w:kern w:val="0"/>
          <w:sz w:val="32"/>
          <w:szCs w:val="32"/>
          <w:shd w:val="clear" w:color="auto" w:fill="FFFFFF"/>
        </w:rPr>
        <w:t>报名联系电话： 0591-83660063-8822</w:t>
      </w:r>
    </w:p>
    <w:p w14:paraId="34F86AC5">
      <w:pPr>
        <w:widowControl/>
        <w:shd w:val="clear" w:color="auto" w:fill="FFFFFF"/>
        <w:spacing w:line="360" w:lineRule="auto"/>
        <w:rPr>
          <w:rFonts w:hint="eastAsia" w:ascii="仿宋_GB2312" w:hAnsi="仿宋_GB2312" w:eastAsia="仿宋_GB2312" w:cs="仿宋_GB2312"/>
          <w:bCs/>
          <w:color w:val="000000"/>
          <w:kern w:val="0"/>
          <w:sz w:val="32"/>
          <w:szCs w:val="32"/>
          <w:shd w:val="clear" w:color="auto" w:fill="FFFFFF"/>
        </w:rPr>
      </w:pPr>
      <w:r>
        <w:rPr>
          <w:rFonts w:hint="eastAsia" w:ascii="仿宋_GB2312" w:hAnsi="仿宋_GB2312" w:eastAsia="仿宋_GB2312" w:cs="仿宋_GB2312"/>
          <w:bCs/>
          <w:color w:val="000000"/>
          <w:kern w:val="0"/>
          <w:sz w:val="32"/>
          <w:szCs w:val="32"/>
          <w:shd w:val="clear" w:color="auto" w:fill="FFFFFF"/>
        </w:rPr>
        <w:t xml:space="preserve">联系人： </w:t>
      </w:r>
      <w:r>
        <w:rPr>
          <w:rFonts w:hint="eastAsia" w:ascii="仿宋_GB2312" w:hAnsi="仿宋_GB2312" w:eastAsia="仿宋_GB2312" w:cs="仿宋_GB2312"/>
          <w:bCs/>
          <w:color w:val="000000"/>
          <w:kern w:val="0"/>
          <w:sz w:val="32"/>
          <w:szCs w:val="32"/>
          <w:shd w:val="clear" w:color="auto" w:fill="FFFFFF"/>
          <w:lang w:val="en-US" w:eastAsia="zh-CN"/>
        </w:rPr>
        <w:t>张</w:t>
      </w:r>
      <w:r>
        <w:rPr>
          <w:rFonts w:hint="eastAsia" w:ascii="仿宋_GB2312" w:hAnsi="仿宋_GB2312" w:eastAsia="仿宋_GB2312" w:cs="仿宋_GB2312"/>
          <w:bCs/>
          <w:color w:val="000000"/>
          <w:kern w:val="0"/>
          <w:sz w:val="32"/>
          <w:szCs w:val="32"/>
          <w:shd w:val="clear" w:color="auto" w:fill="FFFFFF"/>
        </w:rPr>
        <w:t>工、郑工</w:t>
      </w:r>
    </w:p>
    <w:p w14:paraId="0CDCA289">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5D29DAE8">
      <w:pPr>
        <w:widowControl/>
        <w:shd w:val="clear" w:color="auto" w:fill="FFFFFF"/>
        <w:adjustRightInd w:val="0"/>
        <w:snapToGrid w:val="0"/>
        <w:spacing w:line="360" w:lineRule="auto"/>
        <w:ind w:firstLine="420"/>
        <w:jc w:val="center"/>
        <w:rPr>
          <w:rFonts w:hint="eastAsia" w:ascii="黑体" w:hAnsi="黑体" w:eastAsia="黑体"/>
          <w:bCs/>
          <w:color w:val="000000"/>
          <w:kern w:val="0"/>
          <w:sz w:val="32"/>
          <w:szCs w:val="32"/>
          <w:shd w:val="clear" w:color="auto" w:fill="FFFFFF"/>
        </w:rPr>
      </w:pPr>
      <w:r>
        <w:rPr>
          <w:rFonts w:hint="eastAsia" w:ascii="黑体" w:hAnsi="黑体" w:eastAsia="黑体"/>
          <w:bCs/>
          <w:color w:val="000000"/>
          <w:kern w:val="0"/>
          <w:sz w:val="32"/>
          <w:szCs w:val="32"/>
          <w:shd w:val="clear" w:color="auto" w:fill="FFFFFF"/>
        </w:rPr>
        <w:t>第二部分 具体要求</w:t>
      </w:r>
    </w:p>
    <w:p w14:paraId="60975166">
      <w:pPr>
        <w:widowControl/>
        <w:shd w:val="clear" w:color="auto" w:fill="FFFFFF"/>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一、采购内容</w:t>
      </w:r>
    </w:p>
    <w:tbl>
      <w:tblPr>
        <w:tblStyle w:val="9"/>
        <w:tblW w:w="1040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743"/>
        <w:gridCol w:w="990"/>
        <w:gridCol w:w="2160"/>
        <w:gridCol w:w="1248"/>
        <w:gridCol w:w="2249"/>
        <w:gridCol w:w="1012"/>
      </w:tblGrid>
      <w:tr w14:paraId="3BEC03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4" w:hRule="atLeast"/>
          <w:jc w:val="center"/>
        </w:trPr>
        <w:tc>
          <w:tcPr>
            <w:tcW w:w="2743" w:type="dxa"/>
            <w:shd w:val="clear" w:color="FFFFFF" w:fill="auto"/>
            <w:vAlign w:val="center"/>
          </w:tcPr>
          <w:p w14:paraId="6BFD0411">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项 目 名 称</w:t>
            </w:r>
          </w:p>
        </w:tc>
        <w:tc>
          <w:tcPr>
            <w:tcW w:w="990" w:type="dxa"/>
            <w:shd w:val="clear" w:color="FFFFFF" w:fill="auto"/>
            <w:vAlign w:val="center"/>
          </w:tcPr>
          <w:p w14:paraId="03576422">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rPr>
            </w:pPr>
            <w:r>
              <w:rPr>
                <w:rFonts w:hint="eastAsia" w:ascii="仿宋_GB2312" w:hAnsi="仿宋_GB2312" w:eastAsia="仿宋_GB2312" w:cs="仿宋_GB2312"/>
                <w:color w:val="000000"/>
                <w:sz w:val="28"/>
                <w:szCs w:val="28"/>
                <w:highlight w:val="none"/>
              </w:rPr>
              <w:t>数量</w:t>
            </w:r>
          </w:p>
        </w:tc>
        <w:tc>
          <w:tcPr>
            <w:tcW w:w="2160" w:type="dxa"/>
            <w:shd w:val="clear" w:color="FFFFFF" w:fill="auto"/>
            <w:vAlign w:val="center"/>
          </w:tcPr>
          <w:p w14:paraId="7E063622">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主要技术规格</w:t>
            </w:r>
          </w:p>
        </w:tc>
        <w:tc>
          <w:tcPr>
            <w:tcW w:w="1248" w:type="dxa"/>
            <w:shd w:val="clear" w:color="FFFFFF" w:fill="auto"/>
            <w:vAlign w:val="center"/>
          </w:tcPr>
          <w:p w14:paraId="4C996C31">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服务期</w:t>
            </w:r>
          </w:p>
        </w:tc>
        <w:tc>
          <w:tcPr>
            <w:tcW w:w="2249" w:type="dxa"/>
            <w:shd w:val="clear" w:color="FFFFFF" w:fill="auto"/>
            <w:vAlign w:val="center"/>
          </w:tcPr>
          <w:p w14:paraId="2360D62B">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说明</w:t>
            </w:r>
          </w:p>
        </w:tc>
        <w:tc>
          <w:tcPr>
            <w:tcW w:w="1012" w:type="dxa"/>
            <w:shd w:val="clear" w:color="FFFFFF" w:fill="auto"/>
            <w:vAlign w:val="center"/>
          </w:tcPr>
          <w:p w14:paraId="0DB912F4">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预算</w:t>
            </w:r>
          </w:p>
        </w:tc>
      </w:tr>
      <w:tr w14:paraId="7C8409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2743" w:type="dxa"/>
            <w:vAlign w:val="center"/>
          </w:tcPr>
          <w:p w14:paraId="23E00291">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医院短信推送服务</w:t>
            </w:r>
            <w:r>
              <w:rPr>
                <w:rFonts w:hint="default" w:ascii="仿宋_GB2312" w:hAnsi="仿宋_GB2312" w:eastAsia="仿宋_GB2312" w:cs="仿宋_GB2312"/>
                <w:color w:val="000000"/>
                <w:sz w:val="28"/>
                <w:szCs w:val="28"/>
                <w:highlight w:val="none"/>
                <w:lang w:val="en-US" w:eastAsia="zh-CN"/>
              </w:rPr>
              <w:t>采购项目</w:t>
            </w:r>
          </w:p>
        </w:tc>
        <w:tc>
          <w:tcPr>
            <w:tcW w:w="990" w:type="dxa"/>
            <w:vAlign w:val="center"/>
          </w:tcPr>
          <w:p w14:paraId="1E94C7B1">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1批</w:t>
            </w:r>
          </w:p>
        </w:tc>
        <w:tc>
          <w:tcPr>
            <w:tcW w:w="2160" w:type="dxa"/>
            <w:vAlign w:val="center"/>
          </w:tcPr>
          <w:p w14:paraId="56F62671">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不少于600万条</w:t>
            </w:r>
          </w:p>
          <w:p w14:paraId="14A516F8">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详见附件或招标内容及要求</w:t>
            </w:r>
          </w:p>
        </w:tc>
        <w:tc>
          <w:tcPr>
            <w:tcW w:w="1248" w:type="dxa"/>
            <w:vAlign w:val="center"/>
          </w:tcPr>
          <w:p w14:paraId="2D3F3237">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1年</w:t>
            </w:r>
          </w:p>
        </w:tc>
        <w:tc>
          <w:tcPr>
            <w:tcW w:w="2249" w:type="dxa"/>
            <w:vAlign w:val="center"/>
          </w:tcPr>
          <w:p w14:paraId="0FD53AB0">
            <w:pPr>
              <w:widowControl w:val="0"/>
              <w:wordWrap/>
              <w:adjustRightInd w:val="0"/>
              <w:snapToGrid w:val="0"/>
              <w:spacing w:line="240" w:lineRule="auto"/>
              <w:jc w:val="center"/>
              <w:textAlignment w:val="auto"/>
              <w:rPr>
                <w:rFonts w:hint="eastAsia" w:ascii="仿宋_GB2312" w:hAnsi="仿宋_GB2312" w:eastAsia="仿宋_GB2312" w:cs="仿宋_GB2312"/>
                <w:color w:val="000000"/>
                <w:sz w:val="28"/>
                <w:szCs w:val="28"/>
                <w:highlight w:val="none"/>
                <w:lang w:val="en-US" w:eastAsia="zh-CN"/>
              </w:rPr>
            </w:pPr>
            <w:r>
              <w:rPr>
                <w:rFonts w:hint="default" w:ascii="仿宋_GB2312" w:hAnsi="仿宋_GB2312" w:eastAsia="仿宋_GB2312" w:cs="仿宋_GB2312"/>
                <w:color w:val="000000"/>
                <w:sz w:val="28"/>
                <w:szCs w:val="28"/>
                <w:highlight w:val="none"/>
                <w:lang w:val="en-US" w:eastAsia="zh-CN"/>
              </w:rPr>
              <w:t>根据</w:t>
            </w:r>
            <w:r>
              <w:rPr>
                <w:rFonts w:hint="eastAsia" w:ascii="仿宋_GB2312" w:hAnsi="仿宋_GB2312" w:eastAsia="仿宋_GB2312" w:cs="仿宋_GB2312"/>
                <w:color w:val="000000"/>
                <w:sz w:val="28"/>
                <w:szCs w:val="28"/>
                <w:highlight w:val="none"/>
                <w:lang w:val="en-US" w:eastAsia="zh-CN"/>
              </w:rPr>
              <w:t>供应商</w:t>
            </w:r>
            <w:r>
              <w:rPr>
                <w:rFonts w:hint="default" w:ascii="仿宋_GB2312" w:hAnsi="仿宋_GB2312" w:eastAsia="仿宋_GB2312" w:cs="仿宋_GB2312"/>
                <w:color w:val="000000"/>
                <w:sz w:val="28"/>
                <w:szCs w:val="28"/>
                <w:highlight w:val="none"/>
                <w:lang w:val="en-US" w:eastAsia="zh-CN"/>
              </w:rPr>
              <w:t>提供的每季度实际用量明细单进行结算</w:t>
            </w:r>
          </w:p>
        </w:tc>
        <w:tc>
          <w:tcPr>
            <w:tcW w:w="1012" w:type="dxa"/>
            <w:vAlign w:val="center"/>
          </w:tcPr>
          <w:p w14:paraId="793D44BD">
            <w:pPr>
              <w:widowControl w:val="0"/>
              <w:wordWrap/>
              <w:adjustRightInd w:val="0"/>
              <w:snapToGrid w:val="0"/>
              <w:spacing w:line="240" w:lineRule="auto"/>
              <w:jc w:val="center"/>
              <w:textAlignment w:val="auto"/>
              <w:rPr>
                <w:rFonts w:hint="default" w:ascii="仿宋_GB2312" w:hAnsi="仿宋_GB2312" w:eastAsia="仿宋_GB2312" w:cs="仿宋_GB2312"/>
                <w:color w:val="000000"/>
                <w:sz w:val="28"/>
                <w:szCs w:val="28"/>
                <w:highlight w:val="none"/>
                <w:lang w:val="en-US" w:eastAsia="zh-CN"/>
              </w:rPr>
            </w:pPr>
            <w:r>
              <w:rPr>
                <w:rFonts w:hint="eastAsia" w:ascii="仿宋_GB2312" w:hAnsi="仿宋_GB2312" w:eastAsia="仿宋_GB2312" w:cs="仿宋_GB2312"/>
                <w:color w:val="000000"/>
                <w:sz w:val="28"/>
                <w:szCs w:val="28"/>
                <w:highlight w:val="none"/>
                <w:lang w:val="en-US" w:eastAsia="zh-CN"/>
              </w:rPr>
              <w:t>30万</w:t>
            </w:r>
          </w:p>
        </w:tc>
      </w:tr>
      <w:tr w14:paraId="3DFDD4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33" w:hRule="atLeast"/>
          <w:jc w:val="center"/>
        </w:trPr>
        <w:tc>
          <w:tcPr>
            <w:tcW w:w="10402" w:type="dxa"/>
            <w:gridSpan w:val="6"/>
            <w:vAlign w:val="center"/>
          </w:tcPr>
          <w:p w14:paraId="53F1B4B7">
            <w:pPr>
              <w:widowControl w:val="0"/>
              <w:wordWrap/>
              <w:adjustRightInd w:val="0"/>
              <w:snapToGrid w:val="0"/>
              <w:spacing w:line="240" w:lineRule="auto"/>
              <w:jc w:val="both"/>
              <w:textAlignment w:val="auto"/>
              <w:rPr>
                <w:rFonts w:hint="eastAsia" w:ascii="仿宋_GB2312" w:hAnsi="仿宋_GB2312" w:eastAsia="仿宋_GB2312" w:cs="仿宋_GB2312"/>
                <w:color w:val="000000"/>
                <w:sz w:val="28"/>
                <w:szCs w:val="28"/>
                <w:highlight w:val="none"/>
                <w:lang w:val="en-US" w:eastAsia="zh-CN"/>
              </w:rPr>
            </w:pPr>
            <w:bookmarkStart w:id="1" w:name="_GoBack"/>
            <w:bookmarkEnd w:id="1"/>
            <w:r>
              <w:rPr>
                <w:rFonts w:hint="eastAsia" w:ascii="仿宋_GB2312" w:hAnsi="仿宋_GB2312" w:eastAsia="仿宋_GB2312" w:cs="仿宋_GB2312"/>
                <w:color w:val="000000"/>
                <w:sz w:val="28"/>
                <w:szCs w:val="28"/>
                <w:highlight w:val="none"/>
                <w:lang w:val="en-US" w:eastAsia="zh-CN"/>
              </w:rPr>
              <w:t>备注说明：报价含货物、运输、安装调试、验收、保险、税费等相关费用。</w:t>
            </w:r>
          </w:p>
        </w:tc>
      </w:tr>
    </w:tbl>
    <w:p w14:paraId="2C30C934"/>
    <w:p w14:paraId="4D8636A9">
      <w:pPr>
        <w:keepNext/>
        <w:widowControl/>
        <w:shd w:val="clear" w:color="auto" w:fill="FFFFFF"/>
        <w:autoSpaceDE w:val="0"/>
        <w:spacing w:line="360" w:lineRule="auto"/>
        <w:rPr>
          <w:rFonts w:hint="eastAsia" w:ascii="仿宋_GB2312" w:hAnsi="仿宋_GB2312" w:eastAsia="仿宋_GB2312" w:cs="仿宋_GB2312"/>
          <w:b/>
          <w:color w:val="000000"/>
          <w:kern w:val="0"/>
          <w:sz w:val="32"/>
          <w:szCs w:val="32"/>
          <w:shd w:val="clear" w:color="auto" w:fill="FFFFFF"/>
        </w:rPr>
      </w:pPr>
      <w:r>
        <w:rPr>
          <w:rFonts w:hint="eastAsia" w:ascii="仿宋_GB2312" w:hAnsi="仿宋_GB2312" w:eastAsia="仿宋_GB2312" w:cs="仿宋_GB2312"/>
          <w:b/>
          <w:color w:val="000000"/>
          <w:kern w:val="0"/>
          <w:sz w:val="32"/>
          <w:szCs w:val="32"/>
          <w:shd w:val="clear" w:color="auto" w:fill="FFFFFF"/>
        </w:rPr>
        <w:t>二、技术功能及服务要求</w:t>
      </w:r>
    </w:p>
    <w:p w14:paraId="319F0A46">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1、合同包（一）</w:t>
      </w:r>
    </w:p>
    <w:p w14:paraId="169C7A14">
      <w:pPr>
        <w:wordWrap/>
        <w:adjustRightInd/>
        <w:snapToGrid/>
        <w:spacing w:before="0" w:after="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为提升医护工作人员工作效率、患者看病就医满意度，我院实施短信推送服务，主要推送相关预约短信（检查预约、床位预约、日间预约等）、检查报告、出院带药、危急值提醒、患者验证码等短信。不少于600万条短信数量（一年）。</w:t>
      </w:r>
    </w:p>
    <w:p w14:paraId="0058A5E9">
      <w:pPr>
        <w:pStyle w:val="7"/>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（一）技术要求</w:t>
      </w:r>
    </w:p>
    <w:p w14:paraId="12D4B538">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短信平台须采用本地化部署，通过内网方式实现对接。提供内网中短信提交及与各个业务系统短信接口对接服务；</w:t>
      </w:r>
    </w:p>
    <w:p w14:paraId="470E2F1C">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本地化部署的短信平台须综合提供短信接口、WEB发送及管理平台、短信发送网关、异常告警监控功能，提供web页面、webservice、db等接口调用等短信发送方式；</w:t>
      </w:r>
    </w:p>
    <w:p w14:paraId="3B262010">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WEB平台应具有短信发送及查询、通讯录管理、短信定时发送、报表统计、上行短信查询、发送失败短信查询、权限管理、敏感词过滤、黑名单等功能。</w:t>
      </w:r>
      <w:r>
        <w:rPr>
          <w:rFonts w:hint="eastAsia" w:ascii="仿宋_GB2312" w:hAnsi="仿宋_GB2312" w:eastAsia="仿宋_GB2312" w:cs="仿宋_GB2312"/>
          <w:sz w:val="30"/>
          <w:szCs w:val="30"/>
          <w:lang w:eastAsia="zh-CN"/>
        </w:rPr>
        <w:t>平台通信录管理：可进行黑名单管理，重号去重，权限管理，计费管理及非法过滤。管理员账号可设置和管理个性化短信内容和收件人通讯录，手动进行短信发送</w:t>
      </w:r>
      <w:r>
        <w:rPr>
          <w:rFonts w:hint="eastAsia" w:ascii="仿宋_GB2312" w:hAnsi="仿宋_GB2312" w:eastAsia="仿宋_GB2312" w:cs="仿宋_GB2312"/>
          <w:i w:val="0"/>
          <w:caps w:val="0"/>
          <w:color w:val="333333"/>
          <w:spacing w:val="0"/>
          <w:sz w:val="30"/>
          <w:szCs w:val="30"/>
        </w:rPr>
        <w:t>；</w:t>
      </w:r>
    </w:p>
    <w:p w14:paraId="74EAD6EF">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支持多种接口标准，包括CMPP、SGIP、SMGP，提供按需定制的HTTP以及HTTPS接口协议；</w:t>
      </w:r>
    </w:p>
    <w:p w14:paraId="5FBB1587">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能提供消费明细以及对账清单。对账结算数量依据采购人收到回写成功数量和平台统计发送量，两者应保持一致，当出现不一致情况时，以两者孰低为准；</w:t>
      </w:r>
    </w:p>
    <w:p w14:paraId="7AA85C87">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报表统计：自动生成短信日报、周报、月报。须支持按子帐号，按部门机构进行生成；</w:t>
      </w:r>
    </w:p>
    <w:p w14:paraId="5F1FA702">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平台可开设不同权限的子账户，且单独计费；</w:t>
      </w:r>
    </w:p>
    <w:p w14:paraId="1236719D">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上行短信：上行短信需与下行短信有正确的对应关系，可在WEB页面查询对应关系； </w:t>
      </w:r>
    </w:p>
    <w:p w14:paraId="025FB2D9">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在排除运营商故障、客户停机、黑名单、工信部规定的敏感字眼等因素以外，短信成功率需达到99.9</w:t>
      </w:r>
      <w:r>
        <w:rPr>
          <w:rFonts w:hint="eastAsia" w:ascii="仿宋_GB2312" w:hAnsi="仿宋_GB2312" w:eastAsia="仿宋_GB2312" w:cs="仿宋_GB2312"/>
          <w:i w:val="0"/>
          <w:caps w:val="0"/>
          <w:color w:val="333333"/>
          <w:spacing w:val="0"/>
          <w:sz w:val="30"/>
          <w:szCs w:val="30"/>
          <w:lang w:val="en-US" w:eastAsia="zh-CN"/>
        </w:rPr>
        <w:t>5</w:t>
      </w:r>
      <w:r>
        <w:rPr>
          <w:rFonts w:hint="eastAsia" w:ascii="仿宋_GB2312" w:hAnsi="仿宋_GB2312" w:eastAsia="仿宋_GB2312" w:cs="仿宋_GB2312"/>
          <w:i w:val="0"/>
          <w:caps w:val="0"/>
          <w:color w:val="333333"/>
          <w:spacing w:val="0"/>
          <w:sz w:val="30"/>
          <w:szCs w:val="30"/>
        </w:rPr>
        <w:t>%以上； </w:t>
      </w:r>
    </w:p>
    <w:p w14:paraId="19398B98">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短信网关提交短信后，排除运营商故障的情况下，短信应该30秒时间内送达； </w:t>
      </w:r>
    </w:p>
    <w:p w14:paraId="4088CF45">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供应商提供短信网关中断告警机制，即短信网关完全宕机（发不出短信）时，有短信（从其他渠道发送）、邮件或者其他形式的通知发送至双方运维人员； </w:t>
      </w:r>
    </w:p>
    <w:p w14:paraId="6B344EFD">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搭建院内短信平台且可与运营商短信平台无缝对接；</w:t>
      </w:r>
    </w:p>
    <w:p w14:paraId="79E657B1">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i w:val="0"/>
          <w:caps w:val="0"/>
          <w:color w:val="333333"/>
          <w:spacing w:val="0"/>
          <w:sz w:val="30"/>
          <w:szCs w:val="30"/>
        </w:rPr>
        <w:t>短信头部我院企业签名部分支持自定义，并可依我院要求随时进行修改；</w:t>
      </w:r>
    </w:p>
    <w:p w14:paraId="2248C498">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.实时状态报告返回：支持状态返回报告，实时接收状态报告，可按短信发送失败返回状态进行自动重发或作废</w:t>
      </w:r>
      <w:r>
        <w:rPr>
          <w:rFonts w:hint="eastAsia" w:ascii="仿宋_GB2312" w:hAnsi="仿宋_GB2312" w:eastAsia="仿宋_GB2312" w:cs="仿宋_GB2312"/>
          <w:i w:val="0"/>
          <w:caps w:val="0"/>
          <w:color w:val="333333"/>
          <w:spacing w:val="0"/>
          <w:sz w:val="30"/>
          <w:szCs w:val="30"/>
        </w:rPr>
        <w:t>；</w:t>
      </w:r>
    </w:p>
    <w:p w14:paraId="30C03C49">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支持长短信：平台支持不少于1000字的长短信，且在手机端作为一条完整短信显示。平台处理速度：千万级处理能力</w:t>
      </w:r>
      <w:r>
        <w:rPr>
          <w:rFonts w:hint="eastAsia" w:ascii="仿宋_GB2312" w:hAnsi="仿宋_GB2312" w:eastAsia="仿宋_GB2312" w:cs="仿宋_GB2312"/>
          <w:i w:val="0"/>
          <w:caps w:val="0"/>
          <w:color w:val="333333"/>
          <w:spacing w:val="0"/>
          <w:sz w:val="30"/>
          <w:szCs w:val="30"/>
        </w:rPr>
        <w:t>；</w:t>
      </w:r>
      <w:r>
        <w:rPr>
          <w:rFonts w:hint="eastAsia" w:ascii="仿宋_GB2312" w:hAnsi="仿宋_GB2312" w:eastAsia="仿宋_GB2312" w:cs="仿宋_GB2312"/>
          <w:sz w:val="30"/>
          <w:szCs w:val="30"/>
          <w:lang w:eastAsia="zh-CN"/>
        </w:rPr>
        <w:t xml:space="preserve"> </w:t>
      </w:r>
    </w:p>
    <w:p w14:paraId="0E87B210">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智能优先级：平台通过汉字自动识别分字技术，通过模式配备使得单条类型短信先发送，批量类型短信后发送，从而达到智能处理的目的；</w:t>
      </w:r>
    </w:p>
    <w:p w14:paraId="4AF45FE5">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通道发送速度：支持在不同移动运营商多个地区多条接入；</w:t>
      </w:r>
    </w:p>
    <w:p w14:paraId="7603F63C">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智能路由：可按照不同的账号、签名、模板、地域等做短信智能路由选择发送通道合理配比发送比例；</w:t>
      </w:r>
    </w:p>
    <w:p w14:paraId="7BC92AF0">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信息处理机制：信息缓存机制，确保高峰期大规模信息提交不丢失；支持优先级发送机制；</w:t>
      </w:r>
    </w:p>
    <w:p w14:paraId="717F4985">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多通道发送：支持多个通道同时作业模式，包括中国移动、中国联通、中国电信三大运营商的多条优质通道，并增加负载均衡机制，大大提高了短信效率；</w:t>
      </w:r>
    </w:p>
    <w:p w14:paraId="482BD7C1">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通道监控与切换：确保在某地运营商某个网关出现问题时平台能根据事先约定的策略自动或手动切换到另外的备用通道（分钟级），确保发送及时性，通道安全性。</w:t>
      </w:r>
    </w:p>
    <w:p w14:paraId="2C40BDAC">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发送效率：5000条/秒以上；</w:t>
      </w:r>
    </w:p>
    <w:p w14:paraId="1EF18CC3">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业务高峰期短信通道发送效率：4000条/秒以上；</w:t>
      </w:r>
    </w:p>
    <w:p w14:paraId="2E18E4BB">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短信到达时间：＜3秒/条；</w:t>
      </w:r>
    </w:p>
    <w:p w14:paraId="5688BF71">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日发送量设计：5亿条；平台接口处理速度：＞80000条/秒；</w:t>
      </w:r>
    </w:p>
    <w:p w14:paraId="6A6B9081">
      <w:pPr>
        <w:pStyle w:val="7"/>
        <w:widowControl/>
        <w:numPr>
          <w:ilvl w:val="0"/>
          <w:numId w:val="1"/>
        </w:numPr>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600" w:firstLineChars="200"/>
        <w:jc w:val="both"/>
        <w:textAlignment w:val="auto"/>
        <w:outlineLvl w:val="9"/>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平台支持2500个用户同时使用。</w:t>
      </w:r>
    </w:p>
    <w:p w14:paraId="40313445">
      <w:pPr>
        <w:pStyle w:val="7"/>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（二）服务要求</w:t>
      </w:r>
    </w:p>
    <w:p w14:paraId="6E328110">
      <w:pPr>
        <w:pStyle w:val="7"/>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eastAsia="仿宋_GB2312" w:cs="仿宋_GB2312"/>
          <w:i w:val="0"/>
          <w:caps w:val="0"/>
          <w:color w:val="333333"/>
          <w:spacing w:val="0"/>
          <w:sz w:val="30"/>
          <w:szCs w:val="30"/>
        </w:rPr>
      </w:pPr>
      <w:r>
        <w:rPr>
          <w:rFonts w:hint="eastAsia" w:ascii="仿宋_GB2312" w:hAnsi="仿宋_GB2312" w:eastAsia="仿宋_GB2312" w:cs="仿宋_GB2312"/>
          <w:i w:val="0"/>
          <w:caps w:val="0"/>
          <w:color w:val="333333"/>
          <w:spacing w:val="0"/>
          <w:sz w:val="30"/>
          <w:szCs w:val="30"/>
        </w:rPr>
        <w:t>1、能实现与现有相关业务系统（门诊预约平台、院内信息系统、掌上医院平台、微信认证通道）的对接；投标人所报价格应包含系统接口费用，采购人不另行支付费用；</w:t>
      </w:r>
    </w:p>
    <w:p w14:paraId="7D87A134">
      <w:pPr>
        <w:pStyle w:val="7"/>
        <w:widowControl/>
        <w:pBdr>
          <w:top w:val="none" w:color="auto" w:sz="0" w:space="0"/>
          <w:left w:val="none" w:color="auto" w:sz="0" w:space="0"/>
          <w:bottom w:val="none" w:color="auto" w:sz="0" w:space="0"/>
          <w:right w:val="none" w:color="auto" w:sz="0" w:space="0"/>
        </w:pBdr>
        <w:wordWrap/>
        <w:adjustRightInd/>
        <w:snapToGrid/>
        <w:spacing w:before="0" w:beforeAutospacing="0" w:after="0" w:afterAutospacing="0" w:line="590" w:lineRule="exact"/>
        <w:ind w:left="0" w:leftChars="0" w:right="0" w:firstLine="480"/>
        <w:jc w:val="both"/>
        <w:textAlignment w:val="auto"/>
        <w:outlineLvl w:val="9"/>
        <w:rPr>
          <w:rFonts w:hint="eastAsia" w:ascii="仿宋_GB2312" w:hAnsi="仿宋_GB2312" w:cs="仿宋_GB2312"/>
          <w:sz w:val="32"/>
          <w:szCs w:val="32"/>
        </w:rPr>
      </w:pPr>
      <w:r>
        <w:rPr>
          <w:rFonts w:hint="eastAsia" w:ascii="仿宋_GB2312" w:hAnsi="仿宋_GB2312" w:eastAsia="仿宋_GB2312" w:cs="仿宋_GB2312"/>
          <w:i w:val="0"/>
          <w:caps w:val="0"/>
          <w:color w:val="333333"/>
          <w:spacing w:val="0"/>
          <w:sz w:val="30"/>
          <w:szCs w:val="30"/>
        </w:rPr>
        <w:t>2、提供7*24小时技术支持，及时响应相关问题。</w:t>
      </w:r>
    </w:p>
    <w:p w14:paraId="306B4C37">
      <w:pPr>
        <w:numPr>
          <w:ilvl w:val="0"/>
          <w:numId w:val="2"/>
        </w:numPr>
        <w:wordWrap/>
        <w:spacing w:before="0" w:after="0" w:line="360" w:lineRule="auto"/>
        <w:ind w:left="0" w:leftChars="0" w:right="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sz w:val="32"/>
          <w:szCs w:val="32"/>
          <w:lang w:val="en-US" w:eastAsia="zh-CN"/>
        </w:rPr>
        <w:t>其他要求</w:t>
      </w:r>
    </w:p>
    <w:p w14:paraId="44D14C0C">
      <w:pPr>
        <w:numPr>
          <w:ilvl w:val="0"/>
          <w:numId w:val="0"/>
        </w:numPr>
        <w:wordWrap/>
        <w:spacing w:before="0" w:after="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1、本项目系统须同时覆盖我院滨海院区，功能与技术要求与本部院区一致。应结合我院实际医疗及管理需要，对系统进行客户化修改，包括但不限于结合医院实际管理需求。</w:t>
      </w:r>
    </w:p>
    <w:p w14:paraId="28ECE60D">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由于本项目系统需符合国产化要求，不得使用主管部门禁止使用的操作系统及数据库，必须配备正版的国产化操作系统、数据库、中间件及前端国产化工作站。同时本项目验收前按政策或是按院方需要提供有资质的第三方公司开展的密码应用安全性测评、信息技术应用创新符合性测试，并提供相关的证明。暂时未能实现的，后续政策要求时不再另行收费，并在投标文件中出具承诺函。</w:t>
      </w:r>
    </w:p>
    <w:p w14:paraId="26E9DBEF">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3、本项目系统需符合《信息安全技术网络安全等级保护基本要求》GB/T22239-2019（三级）要求（简称：三级等保2.0）及密码应用安全性评估，并在以上评审中协助完成本系统评审工作。</w:t>
      </w:r>
    </w:p>
    <w:p w14:paraId="38F61E8D">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三年内免费实施政策性国家、省市各平台的数据接口、数据上传等服务及免费实施国密改造、国产化改造，包括但不限于：福建省卫健委居民健康综合服务平台、福建省三医一网数据上报平台、福建省检查检验结果互联互通互认平台、福建省卫健委多码融合项目等，产生相应指标，推送至医疗平台接口中（涉及其他系统，应与其他系统配合实施）。</w:t>
      </w:r>
    </w:p>
    <w:p w14:paraId="2F498CFA">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5、本项目系统应提供与医院HIS，电子病历、危急值平台、报告平台、麻醉耗材、患者360（含HIS360、CDR360）等系统无缝集成接口，符合电子病历6级、医院的互联互通5级、智慧医院4级的建设要求。</w:t>
      </w:r>
    </w:p>
    <w:p w14:paraId="07026107">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6、本项目为交钥匙工程，本项目系统与各业务系统及设备的数据接口由中标人自行负责。本项目涉及院内现有各业务系统接口的，采购人不再向中标人支付接口费用。</w:t>
      </w:r>
    </w:p>
    <w:p w14:paraId="335D0DB7">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具备与集成平台通过统一的数据接口，实现浏览各检查报告具备通过系统集成平台按照国家、院内、院级数据集标准进行数据交换。具备多模式下数据交换接口的切换管理，诸如：集成平台出现故障时，可切换成应用系统服务接口模式或数据表模式，集成平台恢复时，可重新切换成集成平台。</w:t>
      </w:r>
    </w:p>
    <w:p w14:paraId="7537046D">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8、根据国家《医院信息系统功能规范》第十二条以及国家信息化建设审计要求，必须提供完整的总体设计报告、需求分析说明书、上线测试报告、操作使用手册、系统维护手册等。</w:t>
      </w:r>
    </w:p>
    <w:p w14:paraId="7D2EED8C">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9、数据具备各数据表基础数据项的完整性，诸如：数据的创建人、创建时间、最后修改人、最后修改时间等；具备应用系统数据修改痕迹管理，各项核心业务的数据修改必须以日志形式保存，数据修改日志至少必须有“数据基础信息”、“修改前数据”、“修改后数据”、“修改人”、“修改时间”五个部分核心数据项组成；具备应用系统可以手动设置本地日志的保存目录，并自动必须定期清除。</w:t>
      </w:r>
    </w:p>
    <w:p w14:paraId="50DC4D12">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本项目系统所有的工作流程节点（诸如：工作环节名称、患者ID、操作人、操作时间等）必须发送至全院工作流程管理平台进行接收、存储；本项目所涉及的影像文件（照片、图像等），则必须与全院统一影像数据中台实现交互，全部由全院统一影像数据中台进行管理（接收、存储、调阅等），原则上本项目服务器及应用系统不保存所涉及的影像文件（照片、图像等）；各具体接口技术方案待实施时由采购人提供。</w:t>
      </w:r>
    </w:p>
    <w:p w14:paraId="253CCA3E">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11、与医院现有CA数字签名功能实现对接，满足医院各法规需要。</w:t>
      </w:r>
    </w:p>
    <w:p w14:paraId="02E10720">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12、本项目系统若需接入医院APP(实现院外移动端查询)，则中标人应提供H5接口，并支付相应接口费用（不超过3万元），是否需接入医院APP以项目验收时采购人需求为准。</w:t>
      </w:r>
    </w:p>
    <w:p w14:paraId="6F19C628">
      <w:pPr>
        <w:pStyle w:val="14"/>
        <w:numPr>
          <w:ilvl w:val="0"/>
          <w:numId w:val="0"/>
        </w:numPr>
        <w:wordWrap/>
        <w:spacing w:before="0" w:beforeAutospacing="0" w:after="0" w:afterAutospacing="0" w:line="360" w:lineRule="auto"/>
        <w:ind w:right="0" w:rightChars="0"/>
        <w:jc w:val="both"/>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13、</w:t>
      </w:r>
      <w:bookmarkStart w:id="0" w:name="OLE_LINK1"/>
      <w:r>
        <w:rPr>
          <w:rFonts w:hint="eastAsia" w:ascii="仿宋_GB2312" w:hAnsi="仿宋_GB2312" w:eastAsia="仿宋_GB2312" w:cs="仿宋_GB2312"/>
          <w:color w:val="auto"/>
          <w:sz w:val="32"/>
          <w:szCs w:val="32"/>
          <w:lang w:val="en-US" w:eastAsia="zh-CN"/>
        </w:rPr>
        <w:t>在本项目系统软件使用及维保有效期内，本项目软件在每个使用科室使用的终端数量不受限制，数据不得加密，不得使用加密狗、打印加密、功能加密等任何软件使用约束。同时，乙方须如实向甲方提供数据库管理员的用户名、密码以及相关用户权限信息，不得隐瞒。不得通过任何技术手段限制系统内容，数据表结构不得加密，且必须如实提供给甲方。</w:t>
      </w:r>
      <w:bookmarkEnd w:id="0"/>
    </w:p>
    <w:p w14:paraId="3B43731A">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14、本项目软件部分按总价进行报价，不能以安装工作站数量进行报价。</w:t>
      </w:r>
    </w:p>
    <w:p w14:paraId="15222058">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15、本项目需完成旧系统中的历史数据导入，旧系统中非自动产生的数据（如手工输入值等），在新系统中可不体现或以默认值体现。若有涉及接口费用，由中标方负责，采购人不再向中标人支付接口费用。</w:t>
      </w:r>
    </w:p>
    <w:p w14:paraId="3B45D54B">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16、本项目软件版面色彩、风格等应按医院要求设计制作；软件标题只能出现医院logo及系统名称，不能出现公司名称，公司名称允许在帮助（help）的关于（about）中出现。具体版面另行通知。</w:t>
      </w:r>
    </w:p>
    <w:p w14:paraId="5C6FC72D">
      <w:pPr>
        <w:pStyle w:val="14"/>
        <w:numPr>
          <w:ilvl w:val="0"/>
          <w:numId w:val="0"/>
        </w:numPr>
        <w:wordWrap/>
        <w:spacing w:before="0" w:beforeAutospacing="0" w:after="0" w:afterAutospacing="0" w:line="360" w:lineRule="auto"/>
        <w:ind w:right="0" w:rightChars="0"/>
        <w:jc w:val="both"/>
        <w:rPr>
          <w:rFonts w:hint="eastAsia" w:ascii="仿宋_GB2312" w:hAnsi="仿宋_GB2312" w:eastAsia="仿宋_GB2312" w:cs="仿宋_GB2312"/>
          <w:sz w:val="32"/>
          <w:szCs w:val="32"/>
        </w:rPr>
      </w:pPr>
      <w:r>
        <w:rPr>
          <w:rFonts w:hint="eastAsia" w:ascii="仿宋_GB2312" w:hAnsi="仿宋_GB2312" w:eastAsia="仿宋_GB2312" w:cs="仿宋_GB2312"/>
          <w:color w:val="auto"/>
          <w:sz w:val="32"/>
          <w:szCs w:val="32"/>
          <w:lang w:val="en-US" w:eastAsia="zh-CN"/>
        </w:rPr>
        <w:t>17、本项目系统安装调试并经验收合格后，应对采购方的相关人员提供关于系统应用时技术和操作方面的培训。相关培训费用应包含在投标总价中。</w:t>
      </w:r>
    </w:p>
    <w:p w14:paraId="37045A50">
      <w:pPr>
        <w:pStyle w:val="13"/>
        <w:numPr>
          <w:ilvl w:val="0"/>
          <w:numId w:val="2"/>
        </w:numPr>
        <w:spacing w:line="360" w:lineRule="auto"/>
        <w:rPr>
          <w:rFonts w:hint="eastAsia" w:ascii="仿宋_GB2312" w:hAnsi="仿宋_GB2312" w:cs="仿宋_GB2312"/>
          <w:b/>
          <w:bCs/>
          <w:sz w:val="32"/>
          <w:szCs w:val="32"/>
        </w:rPr>
      </w:pPr>
      <w:r>
        <w:rPr>
          <w:rFonts w:hint="eastAsia" w:ascii="仿宋_GB2312" w:hAnsi="仿宋_GB2312" w:cs="仿宋_GB2312"/>
          <w:b/>
          <w:bCs/>
          <w:sz w:val="32"/>
          <w:szCs w:val="32"/>
        </w:rPr>
        <w:t>调研说明</w:t>
      </w:r>
    </w:p>
    <w:p w14:paraId="0B2C6906">
      <w:pPr>
        <w:shd w:val="solid" w:color="FFFFFF" w:fill="auto"/>
        <w:autoSpaceDN w:val="0"/>
        <w:spacing w:line="360" w:lineRule="auto"/>
        <w:ind w:firstLine="640" w:firstLineChars="200"/>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报名参加本次调研的供应商、厂家需提供如下相关资料。</w:t>
      </w:r>
    </w:p>
    <w:p w14:paraId="0E6D4E86">
      <w:pPr>
        <w:widowControl/>
        <w:numPr>
          <w:ilvl w:val="0"/>
          <w:numId w:val="3"/>
        </w:numPr>
        <w:spacing w:line="360" w:lineRule="auto"/>
        <w:ind w:firstLine="720" w:firstLineChars="200"/>
        <w:rPr>
          <w:rFonts w:hint="eastAsia" w:ascii="仿宋_GB2312" w:hAnsi="仿宋_GB2312" w:eastAsia="仿宋_GB2312" w:cs="仿宋_GB2312"/>
          <w:color w:val="000000"/>
          <w:kern w:val="0"/>
          <w:sz w:val="36"/>
          <w:szCs w:val="36"/>
        </w:rPr>
      </w:pPr>
      <w:r>
        <w:rPr>
          <w:rFonts w:hint="eastAsia" w:ascii="仿宋_GB2312" w:hAnsi="仿宋_GB2312" w:eastAsia="仿宋_GB2312" w:cs="仿宋_GB2312"/>
          <w:color w:val="000000"/>
          <w:kern w:val="0"/>
          <w:sz w:val="36"/>
          <w:szCs w:val="36"/>
        </w:rPr>
        <w:t>报名时请携带加盖公章的项目文件回执单、营业执照复印件、公司简介（可含</w:t>
      </w:r>
      <w:r>
        <w:rPr>
          <w:rFonts w:hint="eastAsia" w:ascii="仿宋_GB2312" w:hAnsi="仿宋_GB2312" w:eastAsia="仿宋_GB2312" w:cs="仿宋_GB2312"/>
          <w:bCs/>
          <w:sz w:val="36"/>
          <w:szCs w:val="36"/>
          <w:shd w:val="clear" w:color="auto" w:fill="FFFFFF"/>
        </w:rPr>
        <w:t>提供设备彩页等）</w:t>
      </w:r>
      <w:r>
        <w:rPr>
          <w:rFonts w:hint="eastAsia" w:ascii="仿宋_GB2312" w:hAnsi="仿宋_GB2312" w:eastAsia="仿宋_GB2312" w:cs="仿宋_GB2312"/>
          <w:color w:val="000000"/>
          <w:kern w:val="0"/>
          <w:sz w:val="36"/>
          <w:szCs w:val="36"/>
        </w:rPr>
        <w:t>。</w:t>
      </w:r>
    </w:p>
    <w:p w14:paraId="62C3964E">
      <w:pPr>
        <w:pStyle w:val="13"/>
        <w:spacing w:line="360" w:lineRule="auto"/>
      </w:pPr>
    </w:p>
    <w:p w14:paraId="3B4883CB">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2、参与项目调研供应商代表的个人授权函（需加盖供应商公章）和身份证复印件。</w:t>
      </w:r>
    </w:p>
    <w:p w14:paraId="7485928E">
      <w:pPr>
        <w:widowControl/>
        <w:shd w:val="clear" w:color="auto" w:fill="FFFFFF"/>
        <w:spacing w:line="360" w:lineRule="auto"/>
        <w:ind w:firstLine="608" w:firstLineChars="200"/>
        <w:rPr>
          <w:rFonts w:hint="eastAsia" w:ascii="仿宋_GB2312" w:hAnsi="仿宋_GB2312" w:eastAsia="仿宋_GB2312" w:cs="仿宋_GB2312"/>
          <w:color w:val="000000"/>
          <w:spacing w:val="-8"/>
          <w:kern w:val="0"/>
          <w:sz w:val="32"/>
          <w:szCs w:val="32"/>
          <w:shd w:val="clear" w:color="auto" w:fill="FFFFFF"/>
        </w:rPr>
      </w:pPr>
      <w:r>
        <w:rPr>
          <w:rFonts w:hint="eastAsia" w:ascii="仿宋_GB2312" w:hAnsi="仿宋_GB2312" w:eastAsia="仿宋_GB2312" w:cs="仿宋_GB2312"/>
          <w:color w:val="000000"/>
          <w:spacing w:val="-8"/>
          <w:kern w:val="0"/>
          <w:sz w:val="32"/>
          <w:szCs w:val="32"/>
          <w:shd w:val="clear" w:color="auto" w:fill="FFFFFF"/>
        </w:rPr>
        <w:t>3、分别提供“信用中国”网站（www.creditchina.gov.cn）、“中国政府采购网”网站（http://www.ccgp.gov.cn/search/cr/）信用记录查询截图，无不良记录并加盖公章（截图查询日期必须在该公告日期内）。</w:t>
      </w:r>
    </w:p>
    <w:p w14:paraId="44E4C901">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4、提供业绩清单及近3年省内同类项目中标书</w:t>
      </w:r>
    </w:p>
    <w:p w14:paraId="0FD5DCFA">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5、本调研会的报价仅做为本项目公开招标的预算限价；不做参与投标的限制条件；</w:t>
      </w:r>
    </w:p>
    <w:p w14:paraId="7E486CE3">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6、上述各参数将做为本项目招标的主要参数，不代表本项目公开招标的最终参数；</w:t>
      </w:r>
    </w:p>
    <w:p w14:paraId="0002E90B">
      <w:pPr>
        <w:pStyle w:val="13"/>
        <w:spacing w:line="360" w:lineRule="auto"/>
        <w:ind w:firstLine="608" w:firstLineChars="200"/>
        <w:rPr>
          <w:rFonts w:hint="eastAsia" w:ascii="仿宋_GB2312" w:hAnsi="仿宋_GB2312" w:cs="仿宋_GB2312"/>
          <w:color w:val="000000"/>
          <w:spacing w:val="-8"/>
          <w:kern w:val="0"/>
          <w:sz w:val="32"/>
          <w:szCs w:val="32"/>
          <w:shd w:val="clear" w:color="auto" w:fill="FFFFFF"/>
        </w:rPr>
      </w:pPr>
      <w:r>
        <w:rPr>
          <w:rFonts w:hint="eastAsia" w:ascii="仿宋_GB2312" w:hAnsi="仿宋_GB2312" w:cs="仿宋_GB2312"/>
          <w:color w:val="000000"/>
          <w:spacing w:val="-8"/>
          <w:kern w:val="0"/>
          <w:sz w:val="32"/>
          <w:szCs w:val="32"/>
          <w:shd w:val="clear" w:color="auto" w:fill="FFFFFF"/>
        </w:rPr>
        <w:t>7、参加调研会的公司应准备PPT材料（含方案介绍、服务及集成能力、应用案例、报价等）、技术参数等材料，每公司讲解时间30分钟（含答疑10分钟）；同时上述材料须交予院方留档（发送邮件到wlb@fjzlhospital.com，并提供U盘留档）。</w:t>
      </w:r>
    </w:p>
    <w:p w14:paraId="1873E395">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br w:type="page"/>
      </w:r>
    </w:p>
    <w:p w14:paraId="509FE9E8">
      <w:pPr>
        <w:shd w:val="solid" w:color="FFFFFF" w:fill="auto"/>
        <w:autoSpaceDN w:val="0"/>
        <w:spacing w:line="360" w:lineRule="auto"/>
        <w:jc w:val="center"/>
        <w:rPr>
          <w:rFonts w:hint="eastAsia" w:ascii="仿宋_GB2312" w:hAnsi="仿宋_GB2312" w:eastAsia="仿宋_GB2312" w:cs="仿宋_GB2312"/>
          <w:b/>
          <w:color w:val="000000"/>
          <w:sz w:val="32"/>
          <w:szCs w:val="32"/>
          <w:shd w:val="clear" w:color="auto" w:fill="FFFFFF"/>
        </w:rPr>
      </w:pPr>
    </w:p>
    <w:p w14:paraId="7CE7B554">
      <w:pPr>
        <w:shd w:val="solid" w:color="FFFFFF" w:fill="auto"/>
        <w:autoSpaceDN w:val="0"/>
        <w:spacing w:line="360" w:lineRule="auto"/>
        <w:jc w:val="center"/>
        <w:rPr>
          <w:rFonts w:hint="eastAsia" w:ascii="仿宋_GB2312" w:hAnsi="仿宋_GB2312" w:eastAsia="仿宋_GB2312" w:cs="仿宋_GB2312"/>
          <w:b/>
          <w:sz w:val="32"/>
          <w:szCs w:val="32"/>
          <w:shd w:val="clear" w:color="auto" w:fill="FFFFFF"/>
        </w:rPr>
      </w:pPr>
      <w:r>
        <w:rPr>
          <w:rFonts w:hint="eastAsia" w:ascii="仿宋_GB2312" w:hAnsi="仿宋_GB2312" w:eastAsia="仿宋_GB2312" w:cs="仿宋_GB2312"/>
          <w:b/>
          <w:color w:val="000000"/>
          <w:sz w:val="32"/>
          <w:szCs w:val="32"/>
          <w:shd w:val="clear" w:color="auto" w:fill="FFFFFF"/>
        </w:rPr>
        <w:t>项目文件回执单</w:t>
      </w:r>
    </w:p>
    <w:p w14:paraId="393BB4E8">
      <w:pPr>
        <w:shd w:val="solid" w:color="FFFFFF" w:fill="auto"/>
        <w:autoSpaceDN w:val="0"/>
        <w:spacing w:line="360" w:lineRule="auto"/>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shd w:val="clear" w:color="auto" w:fill="FFFFFF"/>
        </w:rPr>
        <w:t>请有意向参与的公司在项目公示期内携带回执单至福建省肿瘤医院网络技术中心报名。</w:t>
      </w:r>
    </w:p>
    <w:tbl>
      <w:tblPr>
        <w:tblStyle w:val="9"/>
        <w:tblW w:w="8154" w:type="dxa"/>
        <w:tblInd w:w="358"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0" w:type="dxa"/>
          <w:left w:w="0" w:type="dxa"/>
          <w:bottom w:w="0" w:type="dxa"/>
          <w:right w:w="0" w:type="dxa"/>
        </w:tblCellMar>
      </w:tblPr>
      <w:tblGrid>
        <w:gridCol w:w="1140"/>
        <w:gridCol w:w="2651"/>
        <w:gridCol w:w="2115"/>
        <w:gridCol w:w="2248"/>
      </w:tblGrid>
      <w:tr w14:paraId="428293F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04" w:hRule="exact"/>
        </w:trPr>
        <w:tc>
          <w:tcPr>
            <w:tcW w:w="1140" w:type="dxa"/>
            <w:tcBorders>
              <w:top w:val="single" w:color="000000" w:sz="8" w:space="0"/>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28A38ACC">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序号</w:t>
            </w:r>
          </w:p>
        </w:tc>
        <w:tc>
          <w:tcPr>
            <w:tcW w:w="2651"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533335F">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项目名称</w:t>
            </w:r>
          </w:p>
        </w:tc>
        <w:tc>
          <w:tcPr>
            <w:tcW w:w="2115"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9A3BCC3">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数量</w:t>
            </w:r>
          </w:p>
        </w:tc>
        <w:tc>
          <w:tcPr>
            <w:tcW w:w="2248" w:type="dxa"/>
            <w:tcBorders>
              <w:top w:val="single" w:color="000000" w:sz="8" w:space="0"/>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51D6050">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品牌及型号</w:t>
            </w:r>
          </w:p>
        </w:tc>
      </w:tr>
      <w:tr w14:paraId="0D9D0C3F">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5B384762">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1</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67DA7412">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3E2CFE26">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0416AF9F">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r w14:paraId="73A49BE4">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454" w:hRule="exact"/>
        </w:trPr>
        <w:tc>
          <w:tcPr>
            <w:tcW w:w="1140" w:type="dxa"/>
            <w:tcBorders>
              <w:top w:val="nil"/>
              <w:left w:val="single" w:color="000000" w:sz="8" w:space="0"/>
              <w:bottom w:val="single" w:color="000000" w:sz="8" w:space="0"/>
              <w:right w:val="single" w:color="000000" w:sz="8" w:space="0"/>
            </w:tcBorders>
            <w:shd w:val="solid" w:color="FFFFFF" w:fill="auto"/>
            <w:tcMar>
              <w:top w:w="0" w:type="dxa"/>
              <w:left w:w="108" w:type="dxa"/>
              <w:bottom w:w="0" w:type="dxa"/>
              <w:right w:w="108" w:type="dxa"/>
            </w:tcMar>
            <w:vAlign w:val="center"/>
          </w:tcPr>
          <w:p w14:paraId="612F5D13">
            <w:pPr>
              <w:shd w:val="solid" w:color="FFFFFF" w:fill="auto"/>
              <w:autoSpaceDN w:val="0"/>
              <w:spacing w:line="360" w:lineRule="auto"/>
              <w:jc w:val="center"/>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2</w:t>
            </w:r>
          </w:p>
        </w:tc>
        <w:tc>
          <w:tcPr>
            <w:tcW w:w="2651"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57D47825">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115"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2C9C7DD3">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r>
              <w:rPr>
                <w:rFonts w:hint="eastAsia" w:ascii="仿宋_GB2312" w:hAnsi="仿宋_GB2312" w:eastAsia="仿宋_GB2312" w:cs="仿宋_GB2312"/>
                <w:bCs/>
                <w:sz w:val="28"/>
                <w:szCs w:val="28"/>
                <w:shd w:val="clear" w:color="auto" w:fill="FFFFFF"/>
              </w:rPr>
              <w:t xml:space="preserve"> </w:t>
            </w:r>
          </w:p>
        </w:tc>
        <w:tc>
          <w:tcPr>
            <w:tcW w:w="2248" w:type="dxa"/>
            <w:tcBorders>
              <w:top w:val="nil"/>
              <w:left w:val="nil"/>
              <w:bottom w:val="single" w:color="000000" w:sz="8" w:space="0"/>
              <w:right w:val="single" w:color="000000" w:sz="8" w:space="0"/>
            </w:tcBorders>
            <w:shd w:val="solid" w:color="FFFFFF" w:fill="auto"/>
            <w:tcMar>
              <w:top w:w="0" w:type="dxa"/>
              <w:left w:w="108" w:type="dxa"/>
              <w:bottom w:w="0" w:type="dxa"/>
              <w:right w:w="108" w:type="dxa"/>
            </w:tcMar>
            <w:vAlign w:val="center"/>
          </w:tcPr>
          <w:p w14:paraId="7F7E58D0">
            <w:pPr>
              <w:shd w:val="solid" w:color="FFFFFF" w:fill="auto"/>
              <w:autoSpaceDN w:val="0"/>
              <w:spacing w:line="360" w:lineRule="auto"/>
              <w:rPr>
                <w:rFonts w:hint="eastAsia" w:ascii="仿宋_GB2312" w:hAnsi="仿宋_GB2312" w:eastAsia="仿宋_GB2312" w:cs="仿宋_GB2312"/>
                <w:bCs/>
                <w:sz w:val="28"/>
                <w:szCs w:val="28"/>
                <w:shd w:val="clear" w:color="auto" w:fill="FFFFFF"/>
              </w:rPr>
            </w:pPr>
          </w:p>
        </w:tc>
      </w:tr>
    </w:tbl>
    <w:p w14:paraId="4D1E95B5">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14:paraId="0A997AA0">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14:paraId="595D6CE7">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公司名称：</w:t>
      </w:r>
    </w:p>
    <w:p w14:paraId="3346D75A">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 xml:space="preserve">联系人：　 </w:t>
      </w:r>
    </w:p>
    <w:p w14:paraId="21A7D613">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联系电话：</w:t>
      </w:r>
    </w:p>
    <w:p w14:paraId="09047087">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r>
        <w:rPr>
          <w:rFonts w:hint="eastAsia" w:ascii="仿宋_GB2312" w:hAnsi="仿宋_GB2312" w:eastAsia="仿宋_GB2312" w:cs="仿宋_GB2312"/>
          <w:bCs/>
          <w:sz w:val="32"/>
          <w:szCs w:val="32"/>
          <w:shd w:val="clear" w:color="auto" w:fill="FFFFFF"/>
        </w:rPr>
        <w:t>公司盖章：</w:t>
      </w:r>
    </w:p>
    <w:p w14:paraId="3B347B19">
      <w:pPr>
        <w:shd w:val="solid" w:color="FFFFFF" w:fill="auto"/>
        <w:autoSpaceDN w:val="0"/>
        <w:spacing w:line="360" w:lineRule="auto"/>
        <w:rPr>
          <w:rFonts w:hint="eastAsia" w:ascii="仿宋_GB2312" w:hAnsi="仿宋_GB2312" w:eastAsia="仿宋_GB2312" w:cs="仿宋_GB2312"/>
          <w:bCs/>
          <w:sz w:val="32"/>
          <w:szCs w:val="32"/>
          <w:shd w:val="clear" w:color="auto" w:fill="FFFFFF"/>
        </w:rPr>
      </w:pPr>
    </w:p>
    <w:p w14:paraId="24BFA3C2">
      <w:pPr>
        <w:pStyle w:val="13"/>
        <w:spacing w:line="360" w:lineRule="auto"/>
        <w:rPr>
          <w:rFonts w:hint="eastAsia" w:ascii="仿宋_GB2312" w:hAnsi="仿宋_GB2312" w:cs="仿宋_GB2312"/>
          <w:bCs/>
          <w:sz w:val="32"/>
          <w:szCs w:val="32"/>
          <w:shd w:val="clear" w:color="auto" w:fill="FFFFFF"/>
        </w:rPr>
      </w:pPr>
    </w:p>
    <w:p w14:paraId="15294752">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福建省肿瘤医院</w:t>
      </w:r>
    </w:p>
    <w:p w14:paraId="7DBAE96E">
      <w:pPr>
        <w:pStyle w:val="13"/>
        <w:spacing w:line="360" w:lineRule="auto"/>
        <w:rPr>
          <w:rFonts w:hint="eastAsia" w:ascii="仿宋_GB2312" w:hAnsi="仿宋_GB2312" w:cs="仿宋_GB2312"/>
          <w:sz w:val="32"/>
          <w:szCs w:val="32"/>
        </w:rPr>
      </w:pPr>
      <w:r>
        <w:rPr>
          <w:rFonts w:hint="eastAsia" w:ascii="仿宋_GB2312" w:hAnsi="仿宋_GB2312" w:cs="仿宋_GB2312"/>
          <w:sz w:val="32"/>
          <w:szCs w:val="32"/>
        </w:rPr>
        <w:t xml:space="preserve">                                           年  月  日</w:t>
      </w:r>
    </w:p>
    <w:p w14:paraId="1858DC60"/>
    <w:sectPr>
      <w:footerReference r:id="rId3" w:type="default"/>
      <w:pgSz w:w="12240" w:h="15840"/>
      <w:pgMar w:top="1417" w:right="1587" w:bottom="1417" w:left="1587" w:header="720" w:footer="720" w:gutter="0"/>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22D1A3">
    <w:pPr>
      <w:pStyle w:val="5"/>
    </w:pPr>
    <w:r>
      <w:rPr>
        <w:rFonts w:cs="Times New Roma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67945" cy="162560"/>
              <wp:effectExtent l="0" t="0" r="0" b="0"/>
              <wp:wrapNone/>
              <wp:docPr id="1" name="Quad Arrow 1025"/>
              <wp:cNvGraphicFramePr/>
              <a:graphic xmlns:a="http://schemas.openxmlformats.org/drawingml/2006/main">
                <a:graphicData uri="http://schemas.microsoft.com/office/word/2010/wordprocessingShape">
                  <wps:wsp>
                    <wps:cNvSpPr/>
                    <wps:spPr>
                      <a:xfrm>
                        <a:off x="0" y="0"/>
                        <a:ext cx="67945" cy="162560"/>
                      </a:xfrm>
                      <a:prstGeom prst="rect">
                        <a:avLst/>
                      </a:prstGeom>
                      <a:noFill/>
                      <a:ln>
                        <a:noFill/>
                      </a:ln>
                    </wps:spPr>
                    <wps:txbx>
                      <w:txbxContent>
                        <w:p w14:paraId="558F49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wps:txbx>
                    <wps:bodyPr wrap="none" lIns="0" tIns="0" rIns="0" bIns="0" upright="1">
                      <a:spAutoFit/>
                    </wps:bodyPr>
                  </wps:wsp>
                </a:graphicData>
              </a:graphic>
            </wp:anchor>
          </w:drawing>
        </mc:Choice>
        <mc:Fallback>
          <w:pict>
            <v:rect id="Quad Arrow 1025" o:spid="_x0000_s1026" o:spt="1" style="position:absolute;left:0pt;margin-top:0pt;height:12.8pt;width:5.35pt;mso-position-horizontal:center;mso-position-horizontal-relative:margin;mso-wrap-style:none;z-index:251659264;mso-width-relative:page;mso-height-relative:page;" filled="f" stroked="f" coordsize="21600,21600" o:gfxdata="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XFpMj9EAAAADAQAADwAAAAAAAAABACAAAAAiAAAAZHJzL2Rvd25yZXYueG1sUEsBAhQAFAAA&#10;AAgAh07iQDzBcNu9AQAAkAMAAA4AAAAAAAAAAQAgAAAAIAEAAGRycy9lMm9Eb2MueG1sUEsFBgAA&#10;AAAGAAYAWQEAAE8FAAAAAA==&#10;">
              <v:fill on="f" focussize="0,0"/>
              <v:stroke on="f"/>
              <v:imagedata o:title=""/>
              <o:lock v:ext="edit" aspectratio="f"/>
              <v:textbox inset="0mm,0mm,0mm,0mm" style="mso-fit-shape-to-text:t;">
                <w:txbxContent>
                  <w:p w14:paraId="558F494C">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1</w:t>
                    </w:r>
                    <w:r>
                      <w:rPr>
                        <w:rFonts w:hint="eastAsia"/>
                        <w:sz w:val="18"/>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3551602"/>
    <w:multiLevelType w:val="singleLevel"/>
    <w:tmpl w:val="53551602"/>
    <w:lvl w:ilvl="0" w:tentative="0">
      <w:start w:val="3"/>
      <w:numFmt w:val="chineseCounting"/>
      <w:suff w:val="nothing"/>
      <w:lvlText w:val="%1、"/>
      <w:lvlJc w:val="left"/>
      <w:rPr>
        <w:rFonts w:hint="eastAsia"/>
      </w:rPr>
    </w:lvl>
  </w:abstractNum>
  <w:abstractNum w:abstractNumId="1">
    <w:nsid w:val="67B4397F"/>
    <w:multiLevelType w:val="singleLevel"/>
    <w:tmpl w:val="67B4397F"/>
    <w:lvl w:ilvl="0" w:tentative="0">
      <w:start w:val="1"/>
      <w:numFmt w:val="decimal"/>
      <w:suff w:val="nothing"/>
      <w:lvlText w:val="%1、"/>
      <w:lvlJc w:val="left"/>
    </w:lvl>
  </w:abstractNum>
  <w:abstractNum w:abstractNumId="2">
    <w:nsid w:val="67B83D0D"/>
    <w:multiLevelType w:val="singleLevel"/>
    <w:tmpl w:val="67B83D0D"/>
    <w:lvl w:ilvl="0" w:tentative="0">
      <w:start w:val="1"/>
      <w:numFmt w:val="decimal"/>
      <w:suff w:val="nothing"/>
      <w:lvlText w:val="%1．"/>
      <w:lvlJc w:val="left"/>
      <w:pPr>
        <w:ind w:left="0" w:leftChars="0" w:firstLine="400" w:firstLineChars="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RlNzZiNjE1N2NiNDY1MjdjNTllOWUxMWU4Y2ZiZGQifQ=="/>
  </w:docVars>
  <w:rsids>
    <w:rsidRoot w:val="003E746A"/>
    <w:rsid w:val="0000160D"/>
    <w:rsid w:val="0003757E"/>
    <w:rsid w:val="000A0761"/>
    <w:rsid w:val="002A0C62"/>
    <w:rsid w:val="003B2130"/>
    <w:rsid w:val="003E746A"/>
    <w:rsid w:val="00441F37"/>
    <w:rsid w:val="005843F6"/>
    <w:rsid w:val="005B603B"/>
    <w:rsid w:val="005E1C5A"/>
    <w:rsid w:val="00677CA2"/>
    <w:rsid w:val="00724121"/>
    <w:rsid w:val="00775394"/>
    <w:rsid w:val="007F17B5"/>
    <w:rsid w:val="00805947"/>
    <w:rsid w:val="0082491A"/>
    <w:rsid w:val="00830945"/>
    <w:rsid w:val="008368CF"/>
    <w:rsid w:val="008D777B"/>
    <w:rsid w:val="008F6746"/>
    <w:rsid w:val="009278D1"/>
    <w:rsid w:val="00950902"/>
    <w:rsid w:val="009C3229"/>
    <w:rsid w:val="00B662ED"/>
    <w:rsid w:val="00B7053D"/>
    <w:rsid w:val="00C278CC"/>
    <w:rsid w:val="00C771A8"/>
    <w:rsid w:val="00CE4782"/>
    <w:rsid w:val="00CF05B5"/>
    <w:rsid w:val="00D2760A"/>
    <w:rsid w:val="00E41ADB"/>
    <w:rsid w:val="00E852DA"/>
    <w:rsid w:val="00FF177E"/>
    <w:rsid w:val="031B55B3"/>
    <w:rsid w:val="07103EF7"/>
    <w:rsid w:val="0D954BE8"/>
    <w:rsid w:val="0E597E90"/>
    <w:rsid w:val="0E782A66"/>
    <w:rsid w:val="10A02159"/>
    <w:rsid w:val="1235476B"/>
    <w:rsid w:val="13C42198"/>
    <w:rsid w:val="14AE30D9"/>
    <w:rsid w:val="15C3312C"/>
    <w:rsid w:val="1E95634A"/>
    <w:rsid w:val="1F5C7718"/>
    <w:rsid w:val="203938D2"/>
    <w:rsid w:val="20493DE7"/>
    <w:rsid w:val="23FF3B57"/>
    <w:rsid w:val="24552351"/>
    <w:rsid w:val="2A085E7C"/>
    <w:rsid w:val="2D08798C"/>
    <w:rsid w:val="2DC15E45"/>
    <w:rsid w:val="2FD51B22"/>
    <w:rsid w:val="31C8341C"/>
    <w:rsid w:val="3A394FD8"/>
    <w:rsid w:val="483B0E27"/>
    <w:rsid w:val="493778DE"/>
    <w:rsid w:val="4CEC5FF2"/>
    <w:rsid w:val="4CF5B425"/>
    <w:rsid w:val="501954ED"/>
    <w:rsid w:val="54653A5E"/>
    <w:rsid w:val="56650E2A"/>
    <w:rsid w:val="5C0678E3"/>
    <w:rsid w:val="65E75217"/>
    <w:rsid w:val="69E03F15"/>
    <w:rsid w:val="6ADFB210"/>
    <w:rsid w:val="6C8F7517"/>
    <w:rsid w:val="735428B1"/>
    <w:rsid w:val="75E50979"/>
    <w:rsid w:val="76B81187"/>
    <w:rsid w:val="76BF5FEE"/>
    <w:rsid w:val="787E7C64"/>
    <w:rsid w:val="7B6E21D2"/>
    <w:rsid w:val="7BFBA317"/>
    <w:rsid w:val="7BFE0E71"/>
    <w:rsid w:val="7D7F7A0B"/>
    <w:rsid w:val="7E7D3992"/>
    <w:rsid w:val="9FBDC09D"/>
    <w:rsid w:val="AC6FCE0C"/>
    <w:rsid w:val="BFE0F947"/>
    <w:rsid w:val="CBFDA174"/>
    <w:rsid w:val="EFFFF7F1"/>
    <w:rsid w:val="F73FA6E0"/>
    <w:rsid w:val="FEEFF000"/>
    <w:rsid w:val="FF4D47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99"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qFormat/>
    <w:uiPriority w:val="0"/>
    <w:pPr>
      <w:jc w:val="left"/>
    </w:pPr>
  </w:style>
  <w:style w:type="paragraph" w:styleId="4">
    <w:name w:val="Body Text"/>
    <w:basedOn w:val="1"/>
    <w:unhideWhenUsed/>
    <w:qFormat/>
    <w:uiPriority w:val="99"/>
    <w:rPr>
      <w:rFonts w:ascii="仿宋_GB2312" w:eastAsia="仿宋_GB2312"/>
      <w:sz w:val="32"/>
    </w:r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link w:val="15"/>
    <w:qFormat/>
    <w:uiPriority w:val="0"/>
    <w:pPr>
      <w:tabs>
        <w:tab w:val="center" w:pos="4153"/>
        <w:tab w:val="right" w:pos="8306"/>
      </w:tabs>
      <w:snapToGrid w:val="0"/>
      <w:jc w:val="center"/>
    </w:pPr>
    <w:rPr>
      <w:sz w:val="18"/>
      <w:szCs w:val="18"/>
    </w:rPr>
  </w:style>
  <w:style w:type="paragraph" w:styleId="7">
    <w:name w:val="Normal (Web)"/>
    <w:basedOn w:val="1"/>
    <w:qFormat/>
    <w:uiPriority w:val="0"/>
    <w:pPr>
      <w:spacing w:line="336" w:lineRule="auto"/>
      <w:jc w:val="left"/>
    </w:pPr>
    <w:rPr>
      <w:rFonts w:ascii="宋体" w:hAnsi="宋体"/>
      <w:kern w:val="0"/>
      <w:sz w:val="24"/>
    </w:rPr>
  </w:style>
  <w:style w:type="paragraph" w:styleId="8">
    <w:name w:val="annotation subject"/>
    <w:basedOn w:val="3"/>
    <w:next w:val="3"/>
    <w:link w:val="20"/>
    <w:qFormat/>
    <w:uiPriority w:val="0"/>
    <w:rPr>
      <w:b/>
      <w:bCs/>
    </w:rPr>
  </w:style>
  <w:style w:type="table" w:styleId="10">
    <w:name w:val="Table Grid"/>
    <w:basedOn w:val="9"/>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annotation reference"/>
    <w:basedOn w:val="11"/>
    <w:qFormat/>
    <w:uiPriority w:val="0"/>
    <w:rPr>
      <w:sz w:val="21"/>
      <w:szCs w:val="21"/>
    </w:rPr>
  </w:style>
  <w:style w:type="paragraph" w:customStyle="1" w:styleId="13">
    <w:name w:val="Fließtext"/>
    <w:basedOn w:val="1"/>
    <w:qFormat/>
    <w:uiPriority w:val="0"/>
    <w:pPr>
      <w:overflowPunct w:val="0"/>
      <w:autoSpaceDE w:val="0"/>
      <w:autoSpaceDN w:val="0"/>
      <w:adjustRightInd w:val="0"/>
      <w:textAlignment w:val="baseline"/>
    </w:pPr>
    <w:rPr>
      <w:rFonts w:eastAsia="仿宋_GB2312"/>
      <w:kern w:val="28"/>
      <w:sz w:val="24"/>
      <w:szCs w:val="20"/>
    </w:rPr>
  </w:style>
  <w:style w:type="paragraph" w:customStyle="1" w:styleId="14">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页眉 字符"/>
    <w:basedOn w:val="11"/>
    <w:link w:val="6"/>
    <w:qFormat/>
    <w:uiPriority w:val="0"/>
    <w:rPr>
      <w:rFonts w:ascii="Calibri" w:hAnsi="Calibri" w:eastAsia="宋体" w:cs="黑体"/>
      <w:kern w:val="2"/>
      <w:sz w:val="18"/>
      <w:szCs w:val="18"/>
    </w:rPr>
  </w:style>
  <w:style w:type="paragraph" w:customStyle="1" w:styleId="16">
    <w:name w:val="修订1"/>
    <w:hidden/>
    <w:unhideWhenUsed/>
    <w:qFormat/>
    <w:uiPriority w:val="99"/>
    <w:rPr>
      <w:rFonts w:ascii="Calibri" w:hAnsi="Calibri" w:eastAsia="宋体" w:cs="黑体"/>
      <w:kern w:val="2"/>
      <w:sz w:val="21"/>
      <w:szCs w:val="24"/>
      <w:lang w:val="en-US" w:eastAsia="zh-CN" w:bidi="ar-SA"/>
    </w:rPr>
  </w:style>
  <w:style w:type="character" w:customStyle="1" w:styleId="17">
    <w:name w:val="列表段落 字符"/>
    <w:link w:val="18"/>
    <w:qFormat/>
    <w:uiPriority w:val="34"/>
    <w:rPr>
      <w:kern w:val="2"/>
      <w:sz w:val="21"/>
      <w:szCs w:val="24"/>
    </w:rPr>
  </w:style>
  <w:style w:type="paragraph" w:styleId="18">
    <w:name w:val="List Paragraph"/>
    <w:basedOn w:val="1"/>
    <w:link w:val="17"/>
    <w:qFormat/>
    <w:uiPriority w:val="34"/>
    <w:pPr>
      <w:ind w:firstLine="420" w:firstLineChars="200"/>
    </w:pPr>
    <w:rPr>
      <w:rFonts w:asciiTheme="minorHAnsi" w:hAnsiTheme="minorHAnsi" w:eastAsiaTheme="minorEastAsia" w:cstheme="minorBidi"/>
    </w:rPr>
  </w:style>
  <w:style w:type="character" w:customStyle="1" w:styleId="19">
    <w:name w:val="批注文字 字符"/>
    <w:basedOn w:val="11"/>
    <w:link w:val="3"/>
    <w:qFormat/>
    <w:uiPriority w:val="0"/>
    <w:rPr>
      <w:rFonts w:ascii="Calibri" w:hAnsi="Calibri" w:eastAsia="宋体" w:cs="黑体"/>
      <w:kern w:val="2"/>
      <w:sz w:val="21"/>
      <w:szCs w:val="24"/>
    </w:rPr>
  </w:style>
  <w:style w:type="character" w:customStyle="1" w:styleId="20">
    <w:name w:val="批注主题 字符"/>
    <w:basedOn w:val="19"/>
    <w:link w:val="8"/>
    <w:qFormat/>
    <w:uiPriority w:val="0"/>
    <w:rPr>
      <w:rFonts w:ascii="Calibri" w:hAnsi="Calibri" w:eastAsia="宋体" w:cs="黑体"/>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11</Pages>
  <Words>566</Words>
  <Characters>641</Characters>
  <Lines>21</Lines>
  <Paragraphs>5</Paragraphs>
  <TotalTime>0</TotalTime>
  <ScaleCrop>false</ScaleCrop>
  <LinksUpToDate>false</LinksUpToDate>
  <CharactersWithSpaces>678</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2025-06-30T04:25:00Z</dcterms:created>
  <dc:creator>帅如狗</dc:creator>
  <cp:lastModifiedBy>郑薇</cp:lastModifiedBy>
  <cp:lastPrinted>2025-05-28T00:46:00Z</cp:lastPrinted>
  <dcterms:modified xsi:type="dcterms:W3CDTF">2026-01-22T05:20:06Z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eyJoZGlkIjoiNzRlNzZiNjE1N2NiNDY1MjdjNTllOWUxMWU4Y2ZiZGQiLCJ1c2VySWQiOiIxNzAyMzQ4MDU4In0=</vt:lpwstr>
  </property>
  <property fmtid="{D5CDD505-2E9C-101B-9397-08002B2CF9AE}" pid="4" name="ICV">
    <vt:lpwstr>CCE4D72E6EB74B9E8136E60FFAEA4393_13</vt:lpwstr>
  </property>
</Properties>
</file>