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eastAsia"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rPr>
        <w:t>福建省肿瘤医院</w:t>
      </w:r>
      <w:r>
        <w:rPr>
          <w:rFonts w:hint="eastAsia" w:ascii="方正小标宋简体" w:hAnsi="方正小标宋简体" w:eastAsia="方正小标宋简体" w:cs="方正小标宋简体"/>
          <w:b w:val="0"/>
          <w:kern w:val="2"/>
          <w:szCs w:val="44"/>
          <w:lang w:val="en-US" w:eastAsia="zh-CN"/>
        </w:rPr>
        <w:t>采购</w:t>
      </w:r>
      <w:r>
        <w:rPr>
          <w:rFonts w:hint="eastAsia" w:ascii="方正小标宋简体" w:hAnsi="方正小标宋简体" w:eastAsia="方正小标宋简体" w:cs="方正小标宋简体"/>
          <w:b w:val="0"/>
          <w:kern w:val="2"/>
          <w:szCs w:val="44"/>
        </w:rPr>
        <w:t>调研公告</w:t>
      </w:r>
    </w:p>
    <w:p>
      <w:pPr>
        <w:widowControl/>
        <w:shd w:val="clear" w:color="auto" w:fill="FFFFFF"/>
        <w:adjustRightInd w:val="0"/>
        <w:snapToGrid w:val="0"/>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9"/>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7"/>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w:t>
            </w:r>
            <w:bookmarkStart w:id="1" w:name="_GoBack"/>
            <w:bookmarkEnd w:id="1"/>
            <w:r>
              <w:rPr>
                <w:rFonts w:hint="eastAsia" w:ascii="仿宋_GB2312" w:hAnsi="仿宋_GB2312" w:eastAsia="仿宋_GB2312" w:cs="仿宋_GB2312"/>
                <w:b/>
                <w:color w:val="000000"/>
                <w:kern w:val="0"/>
                <w:sz w:val="32"/>
                <w:szCs w:val="32"/>
              </w:rPr>
              <w:t>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lang w:val="en-US" w:eastAsia="zh-CN"/>
              </w:rPr>
              <w:t>省际OTN线路维护</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调研报名时间： 2025 </w:t>
            </w:r>
            <w:r>
              <w:rPr>
                <w:rFonts w:hint="eastAsia" w:ascii="仿宋_GB2312" w:hAnsi="仿宋_GB2312" w:eastAsia="仿宋_GB2312" w:cs="仿宋_GB2312"/>
                <w:color w:val="000000"/>
                <w:kern w:val="0"/>
                <w:sz w:val="32"/>
                <w:szCs w:val="32"/>
                <w:highlight w:val="none"/>
              </w:rPr>
              <w:t>年</w:t>
            </w:r>
            <w:r>
              <w:rPr>
                <w:rFonts w:hint="eastAsia" w:ascii="仿宋_GB2312" w:hAnsi="仿宋_GB2312" w:eastAsia="仿宋_GB2312" w:cs="仿宋_GB2312"/>
                <w:color w:val="000000"/>
                <w:kern w:val="0"/>
                <w:sz w:val="32"/>
                <w:szCs w:val="32"/>
                <w:highlight w:val="none"/>
                <w:u w:val="single"/>
                <w:lang w:val="en-US" w:eastAsia="zh-CN"/>
              </w:rPr>
              <w:t>12</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lang w:val="en-US" w:eastAsia="zh-CN"/>
              </w:rPr>
              <w:t>5</w:t>
            </w:r>
            <w:r>
              <w:rPr>
                <w:rFonts w:hint="eastAsia" w:ascii="仿宋_GB2312" w:hAnsi="仿宋_GB2312" w:eastAsia="仿宋_GB2312" w:cs="仿宋_GB2312"/>
                <w:color w:val="000000"/>
                <w:kern w:val="0"/>
                <w:sz w:val="32"/>
                <w:szCs w:val="32"/>
                <w:highlight w:val="none"/>
              </w:rPr>
              <w:t xml:space="preserve">日至 </w:t>
            </w:r>
            <w:r>
              <w:rPr>
                <w:rFonts w:hint="eastAsia" w:ascii="仿宋_GB2312" w:hAnsi="仿宋_GB2312" w:eastAsia="仿宋_GB2312" w:cs="仿宋_GB2312"/>
                <w:color w:val="000000"/>
                <w:kern w:val="0"/>
                <w:sz w:val="32"/>
                <w:szCs w:val="32"/>
                <w:highlight w:val="none"/>
                <w:u w:val="single"/>
                <w:lang w:val="en-US" w:eastAsia="zh-CN"/>
              </w:rPr>
              <w:t>12</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lang w:val="en-US" w:eastAsia="zh-CN"/>
              </w:rPr>
              <w:t>11</w:t>
            </w:r>
            <w:r>
              <w:rPr>
                <w:rFonts w:hint="eastAsia" w:ascii="仿宋_GB2312" w:hAnsi="仿宋_GB2312" w:eastAsia="仿宋_GB2312" w:cs="仿宋_GB2312"/>
                <w:color w:val="000000"/>
                <w:kern w:val="0"/>
                <w:sz w:val="32"/>
                <w:szCs w:val="32"/>
                <w:highlight w:val="none"/>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w:t>
            </w:r>
            <w:r>
              <w:rPr>
                <w:rFonts w:hint="eastAsia" w:ascii="仿宋_GB2312" w:hAnsi="仿宋_GB2312" w:eastAsia="仿宋_GB2312" w:cs="仿宋_GB2312"/>
                <w:color w:val="000000"/>
                <w:spacing w:val="-8"/>
                <w:kern w:val="0"/>
                <w:sz w:val="32"/>
                <w:szCs w:val="32"/>
                <w:shd w:val="clear" w:color="auto" w:fill="FFFFFF"/>
                <w:lang w:val="en-US" w:eastAsia="zh-CN"/>
              </w:rPr>
              <w:t>0</w:t>
            </w:r>
            <w:r>
              <w:rPr>
                <w:rFonts w:hint="eastAsia" w:ascii="仿宋_GB2312" w:hAnsi="仿宋_GB2312" w:eastAsia="仿宋_GB2312" w:cs="仿宋_GB2312"/>
                <w:color w:val="000000"/>
                <w:spacing w:val="-8"/>
                <w:kern w:val="0"/>
                <w:sz w:val="32"/>
                <w:szCs w:val="32"/>
                <w:shd w:val="clear" w:color="auto" w:fill="FFFFFF"/>
              </w:rPr>
              <w:t>0-17：</w:t>
            </w:r>
            <w:r>
              <w:rPr>
                <w:rFonts w:hint="eastAsia" w:ascii="仿宋_GB2312" w:hAnsi="仿宋_GB2312" w:eastAsia="仿宋_GB2312" w:cs="仿宋_GB2312"/>
                <w:color w:val="000000"/>
                <w:spacing w:val="-8"/>
                <w:kern w:val="0"/>
                <w:sz w:val="32"/>
                <w:szCs w:val="32"/>
                <w:shd w:val="clear" w:color="auto" w:fill="FFFFFF"/>
                <w:lang w:val="en-US" w:eastAsia="zh-CN"/>
              </w:rPr>
              <w:t>0</w:t>
            </w:r>
            <w:r>
              <w:rPr>
                <w:rFonts w:hint="eastAsia" w:ascii="仿宋_GB2312" w:hAnsi="仿宋_GB2312" w:eastAsia="仿宋_GB2312" w:cs="仿宋_GB2312"/>
                <w:color w:val="000000"/>
                <w:spacing w:val="-8"/>
                <w:kern w:val="0"/>
                <w:sz w:val="32"/>
                <w:szCs w:val="32"/>
                <w:shd w:val="clear" w:color="auto" w:fill="FFFFFF"/>
              </w:rPr>
              <w:t>0(北京时间）</w:t>
            </w:r>
          </w:p>
          <w:p>
            <w:pPr>
              <w:widowControl/>
              <w:spacing w:line="360" w:lineRule="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2025 年</w:t>
            </w:r>
            <w:r>
              <w:rPr>
                <w:rFonts w:hint="eastAsia" w:ascii="仿宋_GB2312" w:hAnsi="仿宋_GB2312" w:eastAsia="仿宋_GB2312" w:cs="仿宋_GB2312"/>
                <w:color w:val="000000"/>
                <w:kern w:val="0"/>
                <w:sz w:val="32"/>
                <w:szCs w:val="32"/>
                <w:u w:val="single"/>
                <w:lang w:val="en-US" w:eastAsia="zh-CN"/>
              </w:rPr>
              <w:t>12</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highlight w:val="none"/>
                <w:u w:val="single"/>
                <w:lang w:val="en-US" w:eastAsia="zh-CN"/>
              </w:rPr>
              <w:t>12</w:t>
            </w:r>
            <w:r>
              <w:rPr>
                <w:rFonts w:hint="eastAsia" w:ascii="仿宋_GB2312" w:hAnsi="仿宋_GB2312" w:eastAsia="仿宋_GB2312" w:cs="仿宋_GB2312"/>
                <w:color w:val="000000"/>
                <w:kern w:val="0"/>
                <w:sz w:val="32"/>
                <w:szCs w:val="32"/>
              </w:rPr>
              <w:t>日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投标文件正本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投标文件递交处：福建省肿瘤医院网络技术中心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rPr>
      </w:pPr>
    </w:p>
    <w:p>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widowControl/>
        <w:shd w:val="clear" w:color="auto" w:fill="FFFFFF"/>
        <w:spacing w:line="360" w:lineRule="auto"/>
        <w:ind w:firstLine="42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widowControl/>
        <w:shd w:val="clear" w:color="auto" w:fill="FFFFFF"/>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pPr>
        <w:widowControl/>
        <w:shd w:val="clear" w:color="auto" w:fill="FFFFFF"/>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联系人： </w:t>
      </w:r>
      <w:r>
        <w:rPr>
          <w:rFonts w:hint="eastAsia" w:ascii="仿宋_GB2312" w:hAnsi="仿宋_GB2312" w:eastAsia="仿宋_GB2312" w:cs="仿宋_GB2312"/>
          <w:bCs/>
          <w:color w:val="000000"/>
          <w:kern w:val="0"/>
          <w:sz w:val="32"/>
          <w:szCs w:val="32"/>
          <w:shd w:val="clear" w:color="auto" w:fill="FFFFFF"/>
          <w:lang w:val="en-US" w:eastAsia="zh-CN"/>
        </w:rPr>
        <w:t>钱</w:t>
      </w:r>
      <w:r>
        <w:rPr>
          <w:rFonts w:hint="eastAsia" w:ascii="仿宋_GB2312" w:hAnsi="仿宋_GB2312" w:eastAsia="仿宋_GB2312" w:cs="仿宋_GB2312"/>
          <w:bCs/>
          <w:color w:val="000000"/>
          <w:kern w:val="0"/>
          <w:sz w:val="32"/>
          <w:szCs w:val="32"/>
          <w:shd w:val="clear" w:color="auto" w:fill="FFFFFF"/>
        </w:rPr>
        <w:t>工、郑工</w:t>
      </w: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pPr>
        <w:widowControl/>
        <w:shd w:val="clear" w:color="auto" w:fill="FFFFFF"/>
        <w:adjustRightInd w:val="0"/>
        <w:snapToGrid w:val="0"/>
        <w:spacing w:line="360" w:lineRule="auto"/>
        <w:ind w:firstLine="420"/>
        <w:jc w:val="center"/>
        <w:rPr>
          <w:rFonts w:hint="eastAsia"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widowControl/>
        <w:shd w:val="clear" w:color="auto" w:fill="FFFFFF"/>
        <w:spacing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9"/>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2977"/>
        <w:gridCol w:w="1842"/>
        <w:gridCol w:w="3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exact"/>
        </w:trPr>
        <w:tc>
          <w:tcPr>
            <w:tcW w:w="1413" w:type="dxa"/>
            <w:vAlign w:val="center"/>
          </w:tcPr>
          <w:p>
            <w:pPr>
              <w:widowControl/>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2977" w:type="dxa"/>
            <w:vAlign w:val="center"/>
          </w:tcPr>
          <w:p>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842" w:type="dxa"/>
            <w:vAlign w:val="center"/>
          </w:tcPr>
          <w:p>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3127" w:type="dxa"/>
            <w:vAlign w:val="center"/>
          </w:tcPr>
          <w:p>
            <w:pPr>
              <w:widowControl/>
              <w:spacing w:line="360" w:lineRule="auto"/>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exact"/>
        </w:trPr>
        <w:tc>
          <w:tcPr>
            <w:tcW w:w="1413" w:type="dxa"/>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p>
        </w:tc>
        <w:tc>
          <w:tcPr>
            <w:tcW w:w="2977" w:type="dxa"/>
            <w:vAlign w:val="center"/>
          </w:tcPr>
          <w:p>
            <w:pPr>
              <w:widowControl/>
              <w:spacing w:line="360" w:lineRule="auto"/>
              <w:jc w:val="center"/>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省际OTN线路维护</w:t>
            </w:r>
          </w:p>
        </w:tc>
        <w:tc>
          <w:tcPr>
            <w:tcW w:w="1842" w:type="dxa"/>
            <w:vAlign w:val="center"/>
          </w:tcPr>
          <w:p>
            <w:pPr>
              <w:autoSpaceDN w:val="0"/>
              <w:spacing w:line="360" w:lineRule="auto"/>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 xml:space="preserve">   1套</w:t>
            </w:r>
          </w:p>
        </w:tc>
        <w:tc>
          <w:tcPr>
            <w:tcW w:w="3127" w:type="dxa"/>
            <w:vAlign w:val="center"/>
          </w:tcPr>
          <w:p>
            <w:pPr>
              <w:autoSpaceDN w:val="0"/>
              <w:spacing w:line="360" w:lineRule="auto"/>
              <w:jc w:val="center"/>
              <w:textAlignment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w:t>
            </w:r>
          </w:p>
        </w:tc>
      </w:tr>
    </w:tbl>
    <w:p/>
    <w:p>
      <w:pPr>
        <w:keepNext/>
        <w:widowControl/>
        <w:shd w:val="clear" w:color="auto" w:fill="FFFFFF"/>
        <w:autoSpaceDE w:val="0"/>
        <w:spacing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t>1、合同包（一）</w:t>
      </w:r>
    </w:p>
    <w:tbl>
      <w:tblPr>
        <w:tblStyle w:val="9"/>
        <w:tblW w:w="9026" w:type="dxa"/>
        <w:tblInd w:w="0" w:type="dxa"/>
        <w:tblLayout w:type="autofit"/>
        <w:tblCellMar>
          <w:top w:w="0" w:type="dxa"/>
          <w:left w:w="108" w:type="dxa"/>
          <w:bottom w:w="0" w:type="dxa"/>
          <w:right w:w="108" w:type="dxa"/>
        </w:tblCellMar>
      </w:tblPr>
      <w:tblGrid>
        <w:gridCol w:w="846"/>
        <w:gridCol w:w="1276"/>
        <w:gridCol w:w="6904"/>
      </w:tblGrid>
      <w:tr>
        <w:tblPrEx>
          <w:tblCellMar>
            <w:top w:w="0" w:type="dxa"/>
            <w:left w:w="108" w:type="dxa"/>
            <w:bottom w:w="0" w:type="dxa"/>
            <w:right w:w="108" w:type="dxa"/>
          </w:tblCellMar>
        </w:tblPrEx>
        <w:trPr>
          <w:trHeight w:val="780"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序号</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项目</w:t>
            </w:r>
          </w:p>
        </w:tc>
        <w:tc>
          <w:tcPr>
            <w:tcW w:w="69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技术参数要求</w:t>
            </w:r>
          </w:p>
        </w:tc>
      </w:tr>
      <w:tr>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省际</w:t>
            </w:r>
            <w:r>
              <w:rPr>
                <w:rFonts w:hint="eastAsia" w:ascii="仿宋_GB2312" w:hAnsi="等线" w:eastAsia="仿宋_GB2312" w:cs="宋体"/>
                <w:color w:val="000000"/>
                <w:kern w:val="0"/>
                <w:sz w:val="22"/>
                <w:szCs w:val="22"/>
                <w:lang w:val="en-US" w:eastAsia="zh-CN"/>
              </w:rPr>
              <w:t>2</w:t>
            </w:r>
            <w:r>
              <w:rPr>
                <w:rFonts w:hint="eastAsia" w:ascii="仿宋_GB2312" w:hAnsi="等线" w:eastAsia="仿宋_GB2312" w:cs="宋体"/>
                <w:color w:val="000000"/>
                <w:kern w:val="0"/>
                <w:sz w:val="22"/>
                <w:szCs w:val="22"/>
              </w:rPr>
              <w:t>0M OTN专线</w:t>
            </w:r>
          </w:p>
        </w:tc>
        <w:tc>
          <w:tcPr>
            <w:tcW w:w="6904" w:type="dxa"/>
            <w:tcBorders>
              <w:top w:val="nil"/>
              <w:left w:val="nil"/>
              <w:bottom w:val="single" w:color="auto" w:sz="4" w:space="0"/>
              <w:right w:val="single" w:color="auto" w:sz="4" w:space="0"/>
            </w:tcBorders>
            <w:shd w:val="clear" w:color="auto" w:fill="auto"/>
            <w:noWrap/>
            <w:vAlign w:val="center"/>
          </w:tcPr>
          <w:p>
            <w:pPr>
              <w:widowControl/>
              <w:numPr>
                <w:ilvl w:val="0"/>
                <w:numId w:val="0"/>
              </w:numPr>
              <w:jc w:val="left"/>
              <w:rPr>
                <w:rFonts w:hint="eastAsia" w:ascii="仿宋_GB2312" w:hAnsi="等线" w:eastAsia="仿宋_GB2312" w:cs="宋体"/>
                <w:color w:val="000000"/>
                <w:kern w:val="0"/>
                <w:sz w:val="22"/>
                <w:szCs w:val="22"/>
                <w:lang w:val="en-US" w:eastAsia="zh-CN"/>
              </w:rPr>
            </w:pPr>
            <w:r>
              <w:rPr>
                <w:rFonts w:hint="eastAsia" w:ascii="仿宋_GB2312" w:hAnsi="等线" w:eastAsia="仿宋_GB2312" w:cs="宋体"/>
                <w:color w:val="000000"/>
                <w:kern w:val="0"/>
                <w:sz w:val="22"/>
                <w:szCs w:val="22"/>
                <w:lang w:val="en-US" w:eastAsia="zh-CN"/>
              </w:rPr>
              <w:t>1.</w:t>
            </w:r>
            <w:r>
              <w:rPr>
                <w:rFonts w:hint="eastAsia" w:ascii="仿宋_GB2312" w:hAnsi="等线" w:eastAsia="仿宋_GB2312" w:cs="宋体"/>
                <w:color w:val="000000"/>
                <w:kern w:val="0"/>
                <w:sz w:val="22"/>
                <w:szCs w:val="22"/>
              </w:rPr>
              <w:t>线路采用物理隔离的硬管道传输技术承载，不得使用PON/MPLS VPN/IPRAN/PTN 等IP类统计复用、逻辑隔离方式承载。</w:t>
            </w:r>
          </w:p>
          <w:p>
            <w:pPr>
              <w:widowControl/>
              <w:numPr>
                <w:ilvl w:val="0"/>
                <w:numId w:val="0"/>
              </w:numPr>
              <w:jc w:val="left"/>
              <w:rPr>
                <w:rFonts w:hint="eastAsia"/>
                <w:lang w:val="en-US" w:eastAsia="zh-CN"/>
              </w:rPr>
            </w:pPr>
            <w:r>
              <w:rPr>
                <w:rFonts w:hint="eastAsia" w:ascii="仿宋_GB2312" w:hAnsi="等线" w:eastAsia="仿宋_GB2312" w:cs="宋体"/>
                <w:color w:val="000000"/>
                <w:kern w:val="0"/>
                <w:sz w:val="22"/>
                <w:szCs w:val="22"/>
                <w:lang w:val="en-US" w:eastAsia="zh-CN"/>
              </w:rPr>
              <w:t>2.</w:t>
            </w:r>
            <w:r>
              <w:rPr>
                <w:rFonts w:hint="eastAsia" w:ascii="仿宋_GB2312" w:hAnsi="等线" w:eastAsia="仿宋_GB2312" w:cs="宋体"/>
                <w:color w:val="000000"/>
                <w:kern w:val="0"/>
                <w:sz w:val="22"/>
                <w:szCs w:val="22"/>
              </w:rPr>
              <w:t>专线能够透传上层业务，能够承载数据、语音和视频等多种业务。</w:t>
            </w:r>
            <w:r>
              <w:rPr>
                <w:rFonts w:hint="eastAsia" w:ascii="仿宋_GB2312" w:hAnsi="等线" w:eastAsia="仿宋_GB2312" w:cs="宋体"/>
                <w:color w:val="000000"/>
                <w:kern w:val="0"/>
                <w:sz w:val="22"/>
                <w:szCs w:val="22"/>
                <w:lang w:val="en-US" w:eastAsia="zh-CN"/>
              </w:rPr>
              <w:t>3.</w:t>
            </w:r>
            <w:r>
              <w:rPr>
                <w:rFonts w:hint="eastAsia" w:ascii="仿宋_GB2312" w:hAnsi="等线" w:eastAsia="仿宋_GB2312" w:cs="宋体"/>
                <w:color w:val="000000"/>
                <w:kern w:val="0"/>
                <w:sz w:val="22"/>
                <w:szCs w:val="22"/>
              </w:rPr>
              <w:t>客户接入方式灵活，客户端可采用SDH、以太网、OTN多种接口接入，灵活便捷。</w:t>
            </w:r>
          </w:p>
          <w:p>
            <w:pPr>
              <w:widowControl/>
              <w:jc w:val="left"/>
              <w:rPr>
                <w:rFonts w:hint="eastAsia" w:ascii="仿宋_GB2312" w:hAnsi="等线" w:eastAsia="仿宋_GB2312" w:cs="宋体"/>
                <w:color w:val="000000"/>
                <w:kern w:val="0"/>
                <w:sz w:val="22"/>
                <w:szCs w:val="22"/>
                <w:lang w:val="en-US" w:eastAsia="zh-CN"/>
              </w:rPr>
            </w:pPr>
            <w:r>
              <w:rPr>
                <w:rFonts w:hint="eastAsia" w:ascii="仿宋_GB2312" w:hAnsi="等线" w:eastAsia="仿宋_GB2312" w:cs="宋体"/>
                <w:color w:val="000000"/>
                <w:kern w:val="0"/>
                <w:sz w:val="22"/>
                <w:szCs w:val="22"/>
                <w:lang w:val="en-US" w:eastAsia="zh-CN"/>
              </w:rPr>
              <w:t>4.</w:t>
            </w:r>
            <w:r>
              <w:rPr>
                <w:rFonts w:hint="eastAsia" w:ascii="仿宋_GB2312" w:hAnsi="等线" w:eastAsia="仿宋_GB2312" w:cs="宋体"/>
                <w:color w:val="000000"/>
                <w:kern w:val="0"/>
                <w:sz w:val="22"/>
                <w:szCs w:val="22"/>
              </w:rPr>
              <w:t>具备全程端到端支持故障快速定界定位能力，即具有一套管理系统界面提供端到端业务指标可视化界面，包括所有业务完整传输路由拓扑结构、设备故障快速定界定位、网络资源可视、告警性能可视、带宽利用率等业务状态查询。</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lang w:val="en-US" w:eastAsia="zh-CN"/>
              </w:rPr>
              <w:t>3.</w:t>
            </w:r>
            <w:r>
              <w:rPr>
                <w:rFonts w:hint="eastAsia" w:ascii="仿宋_GB2312" w:hAnsi="等线" w:eastAsia="仿宋_GB2312" w:cs="宋体"/>
                <w:color w:val="000000"/>
                <w:kern w:val="0"/>
                <w:sz w:val="22"/>
                <w:szCs w:val="22"/>
              </w:rPr>
              <w:t>具备实时状态呈现的平台，可实时呈现专线的通断状态和时延等信息。</w:t>
            </w:r>
          </w:p>
          <w:p>
            <w:pPr>
              <w:widowControl/>
              <w:jc w:val="left"/>
              <w:rPr>
                <w:rFonts w:hint="eastAsia" w:ascii="仿宋_GB2312" w:hAnsi="等线" w:eastAsia="仿宋_GB2312" w:cs="宋体"/>
                <w:color w:val="000000"/>
                <w:kern w:val="0"/>
                <w:sz w:val="22"/>
                <w:szCs w:val="22"/>
                <w:lang w:val="en-US" w:eastAsia="zh-CN"/>
              </w:rPr>
            </w:pPr>
            <w:r>
              <w:rPr>
                <w:rFonts w:hint="eastAsia" w:ascii="仿宋_GB2312" w:hAnsi="等线" w:eastAsia="仿宋_GB2312" w:cs="宋体"/>
                <w:color w:val="000000"/>
                <w:kern w:val="0"/>
                <w:sz w:val="22"/>
                <w:szCs w:val="22"/>
                <w:lang w:val="en-US" w:eastAsia="zh-CN"/>
              </w:rPr>
              <w:t>4.</w:t>
            </w:r>
            <w:r>
              <w:rPr>
                <w:rFonts w:hint="eastAsia" w:ascii="仿宋_GB2312" w:hAnsi="等线" w:eastAsia="仿宋_GB2312" w:cs="宋体"/>
                <w:color w:val="000000"/>
                <w:kern w:val="0"/>
                <w:sz w:val="22"/>
                <w:szCs w:val="22"/>
              </w:rPr>
              <w:t>可通过Web门户等前端平台实时（分钟级）无损地调整专线带宽大小，满足采购人临时性、突发性的带宽增速需求。</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lang w:val="en-US" w:eastAsia="zh-CN"/>
              </w:rPr>
              <w:t>5.</w:t>
            </w:r>
            <w:r>
              <w:rPr>
                <w:rFonts w:hint="eastAsia" w:ascii="仿宋_GB2312" w:hAnsi="等线" w:eastAsia="仿宋_GB2312" w:cs="宋体"/>
                <w:color w:val="000000"/>
                <w:kern w:val="0"/>
                <w:sz w:val="22"/>
                <w:szCs w:val="22"/>
              </w:rPr>
              <w:t>为确保采购人业务连续性和长期演进，专线承载设备需具备充足生命周期，保证在周期内能获得设备制造厂商的软硬件服务支持。</w:t>
            </w:r>
          </w:p>
          <w:p>
            <w:pPr>
              <w:widowControl/>
              <w:numPr>
                <w:ilvl w:val="0"/>
                <w:numId w:val="0"/>
              </w:numPr>
              <w:jc w:val="left"/>
              <w:rPr>
                <w:rFonts w:hint="eastAsia"/>
              </w:rPr>
            </w:pPr>
            <w:r>
              <w:rPr>
                <w:rFonts w:hint="eastAsia" w:ascii="仿宋_GB2312" w:hAnsi="等线" w:eastAsia="仿宋_GB2312" w:cs="宋体"/>
                <w:color w:val="000000"/>
                <w:kern w:val="0"/>
                <w:sz w:val="22"/>
                <w:szCs w:val="22"/>
                <w:lang w:val="en-US" w:eastAsia="zh-CN"/>
              </w:rPr>
              <w:t>6.</w:t>
            </w:r>
            <w:r>
              <w:rPr>
                <w:rFonts w:hint="eastAsia" w:ascii="仿宋_GB2312" w:hAnsi="等线" w:eastAsia="仿宋_GB2312" w:cs="宋体"/>
                <w:color w:val="000000"/>
                <w:kern w:val="0"/>
                <w:sz w:val="22"/>
                <w:szCs w:val="22"/>
              </w:rPr>
              <w:t>为保障业务的安全性，投标人安装在采购人机房用于接收内网信息的客户端设备，需符合我国网络安全审查技术标准，例如CCRC-EAL-TR标准等。需提供客户端设备信息安全认证证书（由国家安全审查技术与认证机构签发）</w:t>
            </w:r>
            <w:r>
              <w:rPr>
                <w:rFonts w:hint="eastAsia" w:ascii="仿宋_GB2312" w:hAnsi="等线" w:eastAsia="仿宋_GB2312" w:cs="宋体"/>
                <w:color w:val="000000"/>
                <w:kern w:val="0"/>
                <w:sz w:val="22"/>
                <w:szCs w:val="22"/>
                <w:lang w:eastAsia="zh-CN"/>
              </w:rPr>
              <w:t>，</w:t>
            </w:r>
            <w:r>
              <w:rPr>
                <w:rFonts w:hint="eastAsia" w:ascii="仿宋_GB2312" w:hAnsi="等线" w:eastAsia="仿宋_GB2312" w:cs="宋体"/>
                <w:color w:val="000000"/>
                <w:kern w:val="0"/>
                <w:sz w:val="22"/>
                <w:szCs w:val="22"/>
              </w:rPr>
              <w:t>且认证评定结果需达到评估保障级4增强级要求。</w:t>
            </w:r>
          </w:p>
        </w:tc>
      </w:tr>
    </w:tbl>
    <w:p>
      <w:pPr>
        <w:numPr>
          <w:ilvl w:val="0"/>
          <w:numId w:val="1"/>
        </w:numPr>
        <w:wordWrap/>
        <w:spacing w:before="0" w:after="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其他要求</w:t>
      </w:r>
    </w:p>
    <w:p>
      <w:pPr>
        <w:numPr>
          <w:ilvl w:val="0"/>
          <w:numId w:val="0"/>
        </w:numPr>
        <w:wordWrap/>
        <w:spacing w:before="0" w:after="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1、本项目系统须同时覆盖我院滨海院区，功能与技术要求与本部院区一致。应结合我院实际医疗及管理需要，对系统进行客户化修改，包括但不限于结合医院实际管理需求。</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由于本项目系统需符合国产化要求，不得使用主管部门禁止使用的操作系统及数据库，必须配备正版的国产化操作系统、数据库、中间件及前端国产化工作站。同时本项目验收前按政策或是按院方需要提供有资质的第三方公司开展的密码应用安全性测评、信息技术应用创新符合性测试，并提供相关的证明。暂时未能实现的，后续政策要求时不再另行收费，并在投标文件中出具承诺函。</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3、本项目系统需符合《信息安全技术网络安全等级保护基本要求》GB/T22239-2019（三级）要求（简称：三级等保2.0）及密码应用安全性评估，并在以上评审中协助完成本系统评审工作。</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三年内免费实施政策性国家、省市各平台的数据接口、数据上传等服务及免费实施国密改造、国产化改造，包括但不限于：福建省卫健委居民健康综合服务平台、福建省三医一网数据上报平台、福建省检查检验结果互联互通互认平台、福建省卫健委多码融合项目等，产生相应指标，推送至医疗平台接口中（涉及其他系统，应与其他系统配合实施）。</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5、本项目系统应提供与医院HIS，电子病历、危急值平台、报告平台、麻醉耗材、患者360（含HIS360、CDR360）等系统无缝集成接口，符合电子病历6级、医院的互联互通5级、智慧医院4级的建设要求。</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6、本项目为交钥匙工程，本项目系统与各业务系统及设备的数据接口由中标人自行负责。本项目涉及院内现有各业务系统接口的，采购人不再向中标人支付接口费用。</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8、根据国家《医院信息系统功能规范》第十二条以及国家信息化建设审计要求，必须提供完整的总体设计报告、需求分析说明书、上线测试报告、操作使用手册、系统维护手册等。</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本项目系统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11、与医院现有CA数字签名功能实现对接，满足医院各法规需要。</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12、本项目系统若需接入医院APP(实现院外移动端查询)，则中标人应提供H5接口，并支付相应接口费用（不超过3万元），是否需接入医院APP以项目验收时采购人需求为准。</w:t>
      </w:r>
    </w:p>
    <w:p>
      <w:pPr>
        <w:pStyle w:val="14"/>
        <w:numPr>
          <w:ilvl w:val="0"/>
          <w:numId w:val="0"/>
        </w:numPr>
        <w:wordWrap/>
        <w:spacing w:before="0" w:beforeAutospacing="0" w:after="0" w:afterAutospacing="0" w:line="360" w:lineRule="auto"/>
        <w:ind w:right="0" w:rightChars="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w:t>
      </w:r>
      <w:bookmarkStart w:id="0" w:name="OLE_LINK1"/>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同时，乙方须如实向甲方提供数据库管理员的用户名、密码以及相关用户权限信息，不得隐瞒。不得通过任何技术手段限制系统内容，数据表结构不得加密，且必须如实提供给甲方。</w:t>
      </w:r>
      <w:bookmarkEnd w:id="0"/>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14、本项目软件部分按总价进行报价，不能以安装工作站数量进行报价。</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15、本项目需完成旧系统中的历史数据导入，旧系统中非自动产生的数据（如手工输入值等），在新系统中可不体现或以默认值体现。若有涉及接口费用，由中标方负责，采购人不再向中标人支付接口费用。</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16、本项目软件版面色彩、风格等应按医院要求设计制作；软件标题只能出现医院logo及系统名称，不能出现公司名称，公司名称允许在帮助（help）的关于（about）中出现。具体版面另行通知。</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17、本项目系统安装调试并经验收合格后，应对采购方的相关人员提供关于系统应用时技术和操作方面的培训。相关培训费用应包含在投标总价中。</w:t>
      </w:r>
    </w:p>
    <w:p>
      <w:pPr>
        <w:pStyle w:val="13"/>
        <w:numPr>
          <w:ilvl w:val="0"/>
          <w:numId w:val="1"/>
        </w:numPr>
        <w:spacing w:line="360" w:lineRule="auto"/>
        <w:rPr>
          <w:rFonts w:hint="eastAsia"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autoSpaceDN w:val="0"/>
        <w:spacing w:line="360" w:lineRule="auto"/>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widowControl/>
        <w:numPr>
          <w:ilvl w:val="0"/>
          <w:numId w:val="2"/>
        </w:numPr>
        <w:spacing w:line="360" w:lineRule="auto"/>
        <w:ind w:firstLine="720" w:firstLineChars="200"/>
        <w:rPr>
          <w:rFonts w:hint="eastAsia"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报名时请携带加盖公章的项目文件回执单、营业执照复印件、公司简介（可含</w:t>
      </w:r>
      <w:r>
        <w:rPr>
          <w:rFonts w:hint="eastAsia" w:ascii="仿宋_GB2312" w:hAnsi="仿宋_GB2312" w:eastAsia="仿宋_GB2312" w:cs="仿宋_GB2312"/>
          <w:bCs/>
          <w:sz w:val="36"/>
          <w:szCs w:val="36"/>
          <w:shd w:val="clear" w:color="auto" w:fill="FFFFFF"/>
        </w:rPr>
        <w:t>提供设备彩页等）</w:t>
      </w:r>
      <w:r>
        <w:rPr>
          <w:rFonts w:hint="eastAsia" w:ascii="仿宋_GB2312" w:hAnsi="仿宋_GB2312" w:eastAsia="仿宋_GB2312" w:cs="仿宋_GB2312"/>
          <w:color w:val="000000"/>
          <w:kern w:val="0"/>
          <w:sz w:val="36"/>
          <w:szCs w:val="36"/>
        </w:rPr>
        <w:t>。</w:t>
      </w:r>
    </w:p>
    <w:p>
      <w:pPr>
        <w:pStyle w:val="13"/>
        <w:spacing w:line="360" w:lineRule="auto"/>
      </w:pPr>
    </w:p>
    <w:p>
      <w:pPr>
        <w:widowControl/>
        <w:shd w:val="clear" w:color="auto" w:fill="FFFFFF"/>
        <w:spacing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spacing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pPr>
        <w:shd w:val="solid" w:color="FFFFFF" w:fill="auto"/>
        <w:autoSpaceDN w:val="0"/>
        <w:spacing w:line="360" w:lineRule="auto"/>
        <w:jc w:val="center"/>
        <w:rPr>
          <w:rFonts w:hint="eastAsia" w:ascii="仿宋_GB2312" w:hAnsi="仿宋_GB2312" w:eastAsia="仿宋_GB2312" w:cs="仿宋_GB2312"/>
          <w:b/>
          <w:color w:val="000000"/>
          <w:sz w:val="32"/>
          <w:szCs w:val="32"/>
          <w:shd w:val="clear" w:color="auto" w:fill="FFFFFF"/>
        </w:rPr>
      </w:pPr>
    </w:p>
    <w:p>
      <w:pPr>
        <w:shd w:val="solid" w:color="FFFFFF" w:fill="auto"/>
        <w:autoSpaceDN w:val="0"/>
        <w:spacing w:line="360" w:lineRule="auto"/>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9"/>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p>
        </w:tc>
      </w:tr>
    </w:tbl>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pPr>
        <w:pStyle w:val="13"/>
        <w:spacing w:line="360" w:lineRule="auto"/>
        <w:rPr>
          <w:rFonts w:hint="eastAsia" w:ascii="仿宋_GB2312" w:hAnsi="仿宋_GB2312" w:cs="仿宋_GB2312"/>
          <w:bCs/>
          <w:sz w:val="32"/>
          <w:szCs w:val="32"/>
          <w:shd w:val="clear" w:color="auto" w:fill="FFFFFF"/>
        </w:rPr>
      </w:pP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t xml:space="preserve">                                        福建省肿瘤医院</w:t>
      </w: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t xml:space="preserve">                                           年  月  日</w:t>
      </w:r>
    </w:p>
    <w:p/>
    <w:sectPr>
      <w:footerReference r:id="rId3" w:type="default"/>
      <w:pgSz w:w="12240" w:h="15840"/>
      <w:pgMar w:top="1417" w:right="1587" w:bottom="1417"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51602"/>
    <w:multiLevelType w:val="singleLevel"/>
    <w:tmpl w:val="53551602"/>
    <w:lvl w:ilvl="0" w:tentative="0">
      <w:start w:val="3"/>
      <w:numFmt w:val="chineseCounting"/>
      <w:suff w:val="nothing"/>
      <w:lvlText w:val="%1、"/>
      <w:lvlJc w:val="left"/>
      <w:rPr>
        <w:rFonts w:hint="eastAsia"/>
      </w:rPr>
    </w:lvl>
  </w:abstractNum>
  <w:abstractNum w:abstractNumId="1">
    <w:nsid w:val="67B4397F"/>
    <w:multiLevelType w:val="singleLevel"/>
    <w:tmpl w:val="67B4397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lNzZiNjE1N2NiNDY1MjdjNTllOWUxMWU4Y2ZiZGQifQ=="/>
  </w:docVars>
  <w:rsids>
    <w:rsidRoot w:val="003E746A"/>
    <w:rsid w:val="0000160D"/>
    <w:rsid w:val="0003757E"/>
    <w:rsid w:val="000A0761"/>
    <w:rsid w:val="002A0C62"/>
    <w:rsid w:val="003B2130"/>
    <w:rsid w:val="003E746A"/>
    <w:rsid w:val="00441F37"/>
    <w:rsid w:val="005843F6"/>
    <w:rsid w:val="005B603B"/>
    <w:rsid w:val="005E1C5A"/>
    <w:rsid w:val="00677CA2"/>
    <w:rsid w:val="00724121"/>
    <w:rsid w:val="00775394"/>
    <w:rsid w:val="007F17B5"/>
    <w:rsid w:val="00805947"/>
    <w:rsid w:val="0082491A"/>
    <w:rsid w:val="00830945"/>
    <w:rsid w:val="008368CF"/>
    <w:rsid w:val="008D777B"/>
    <w:rsid w:val="008F6746"/>
    <w:rsid w:val="009278D1"/>
    <w:rsid w:val="00950902"/>
    <w:rsid w:val="009C3229"/>
    <w:rsid w:val="00B662ED"/>
    <w:rsid w:val="00B7053D"/>
    <w:rsid w:val="00C278CC"/>
    <w:rsid w:val="00C771A8"/>
    <w:rsid w:val="00CE4782"/>
    <w:rsid w:val="00CF05B5"/>
    <w:rsid w:val="00D2760A"/>
    <w:rsid w:val="00E41ADB"/>
    <w:rsid w:val="00E852DA"/>
    <w:rsid w:val="00FF177E"/>
    <w:rsid w:val="031B55B3"/>
    <w:rsid w:val="07103EF7"/>
    <w:rsid w:val="08CC22B7"/>
    <w:rsid w:val="0D954BE8"/>
    <w:rsid w:val="0E597E90"/>
    <w:rsid w:val="0E782A66"/>
    <w:rsid w:val="0F6F4385"/>
    <w:rsid w:val="10A02159"/>
    <w:rsid w:val="1235476B"/>
    <w:rsid w:val="13C42198"/>
    <w:rsid w:val="14AE30D9"/>
    <w:rsid w:val="15C3312C"/>
    <w:rsid w:val="1CA722DB"/>
    <w:rsid w:val="1E95634A"/>
    <w:rsid w:val="1F5C7718"/>
    <w:rsid w:val="203938D2"/>
    <w:rsid w:val="23FF3B57"/>
    <w:rsid w:val="2A085E7C"/>
    <w:rsid w:val="2D08798C"/>
    <w:rsid w:val="2DC15E45"/>
    <w:rsid w:val="2FD51B22"/>
    <w:rsid w:val="31C8341C"/>
    <w:rsid w:val="37714984"/>
    <w:rsid w:val="3A394FD8"/>
    <w:rsid w:val="483B0E27"/>
    <w:rsid w:val="493778DE"/>
    <w:rsid w:val="4CF5B425"/>
    <w:rsid w:val="4EBA2C04"/>
    <w:rsid w:val="501954ED"/>
    <w:rsid w:val="54653A5E"/>
    <w:rsid w:val="56650E2A"/>
    <w:rsid w:val="5C0678E3"/>
    <w:rsid w:val="65E75217"/>
    <w:rsid w:val="69E03F15"/>
    <w:rsid w:val="6ADFB210"/>
    <w:rsid w:val="6C8F7517"/>
    <w:rsid w:val="75E50979"/>
    <w:rsid w:val="76B81187"/>
    <w:rsid w:val="76BF5FEE"/>
    <w:rsid w:val="787E7C64"/>
    <w:rsid w:val="7B6E21D2"/>
    <w:rsid w:val="7BFBA317"/>
    <w:rsid w:val="7BFE0E71"/>
    <w:rsid w:val="7D7F7A0B"/>
    <w:rsid w:val="7E7D3992"/>
    <w:rsid w:val="9FBDC09D"/>
    <w:rsid w:val="AC6FCE0C"/>
    <w:rsid w:val="BFE0F947"/>
    <w:rsid w:val="CBFDA174"/>
    <w:rsid w:val="EFFFF7F1"/>
    <w:rsid w:val="F73FA6E0"/>
    <w:rsid w:val="FEEFF000"/>
    <w:rsid w:val="FF4D4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仿宋_GB2312" w:eastAsia="仿宋_GB2312"/>
      <w:sz w:val="32"/>
    </w:rPr>
  </w:style>
  <w:style w:type="paragraph" w:styleId="4">
    <w:name w:val="annotation text"/>
    <w:basedOn w:val="1"/>
    <w:link w:val="19"/>
    <w:qFormat/>
    <w:uiPriority w:val="0"/>
    <w:pPr>
      <w:jc w:val="left"/>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line="336" w:lineRule="auto"/>
      <w:jc w:val="left"/>
    </w:pPr>
    <w:rPr>
      <w:rFonts w:ascii="宋体" w:hAnsi="宋体"/>
      <w:kern w:val="0"/>
      <w:sz w:val="24"/>
    </w:rPr>
  </w:style>
  <w:style w:type="paragraph" w:styleId="8">
    <w:name w:val="annotation subject"/>
    <w:basedOn w:val="4"/>
    <w:next w:val="4"/>
    <w:link w:val="20"/>
    <w:qFormat/>
    <w:uiPriority w:val="0"/>
    <w:rPr>
      <w:b/>
      <w:bCs/>
    </w:rPr>
  </w:style>
  <w:style w:type="table" w:styleId="10">
    <w:name w:val="Table Grid"/>
    <w:basedOn w:val="9"/>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页眉 字符"/>
    <w:basedOn w:val="11"/>
    <w:link w:val="6"/>
    <w:qFormat/>
    <w:uiPriority w:val="0"/>
    <w:rPr>
      <w:rFonts w:ascii="Calibri" w:hAnsi="Calibri" w:eastAsia="宋体" w:cs="黑体"/>
      <w:kern w:val="2"/>
      <w:sz w:val="18"/>
      <w:szCs w:val="18"/>
    </w:rPr>
  </w:style>
  <w:style w:type="paragraph" w:customStyle="1" w:styleId="16">
    <w:name w:val="修订1"/>
    <w:hidden/>
    <w:unhideWhenUsed/>
    <w:qFormat/>
    <w:uiPriority w:val="99"/>
    <w:rPr>
      <w:rFonts w:ascii="Calibri" w:hAnsi="Calibri" w:eastAsia="宋体" w:cs="黑体"/>
      <w:kern w:val="2"/>
      <w:sz w:val="21"/>
      <w:szCs w:val="24"/>
      <w:lang w:val="en-US" w:eastAsia="zh-CN" w:bidi="ar-SA"/>
    </w:rPr>
  </w:style>
  <w:style w:type="character" w:customStyle="1" w:styleId="17">
    <w:name w:val="列表段落 字符"/>
    <w:link w:val="18"/>
    <w:qFormat/>
    <w:uiPriority w:val="34"/>
    <w:rPr>
      <w:kern w:val="2"/>
      <w:sz w:val="21"/>
      <w:szCs w:val="24"/>
    </w:rPr>
  </w:style>
  <w:style w:type="paragraph" w:styleId="18">
    <w:name w:val="List Paragraph"/>
    <w:basedOn w:val="1"/>
    <w:link w:val="17"/>
    <w:qFormat/>
    <w:uiPriority w:val="34"/>
    <w:pPr>
      <w:ind w:firstLine="420" w:firstLineChars="200"/>
    </w:pPr>
    <w:rPr>
      <w:rFonts w:asciiTheme="minorHAnsi" w:hAnsiTheme="minorHAnsi" w:eastAsiaTheme="minorEastAsia" w:cstheme="minorBidi"/>
    </w:rPr>
  </w:style>
  <w:style w:type="character" w:customStyle="1" w:styleId="19">
    <w:name w:val="批注文字 字符"/>
    <w:basedOn w:val="11"/>
    <w:link w:val="4"/>
    <w:qFormat/>
    <w:uiPriority w:val="0"/>
    <w:rPr>
      <w:rFonts w:ascii="Calibri" w:hAnsi="Calibri" w:eastAsia="宋体" w:cs="黑体"/>
      <w:kern w:val="2"/>
      <w:sz w:val="21"/>
      <w:szCs w:val="24"/>
    </w:rPr>
  </w:style>
  <w:style w:type="character" w:customStyle="1" w:styleId="20">
    <w:name w:val="批注主题 字符"/>
    <w:basedOn w:val="19"/>
    <w:link w:val="8"/>
    <w:qFormat/>
    <w:uiPriority w:val="0"/>
    <w:rPr>
      <w:rFonts w:ascii="Calibri" w:hAnsi="Calibri" w:eastAsia="宋体" w:cs="黑体"/>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3028</Words>
  <Characters>3287</Characters>
  <Lines>21</Lines>
  <Paragraphs>5</Paragraphs>
  <TotalTime>39</TotalTime>
  <ScaleCrop>false</ScaleCrop>
  <LinksUpToDate>false</LinksUpToDate>
  <CharactersWithSpaces>3418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2025-06-30T04:25:00Z</dcterms:created>
  <dc:creator>帅如狗</dc:creator>
  <cp:lastModifiedBy>蓝风</cp:lastModifiedBy>
  <cp:lastPrinted>2025-05-28T00:46:00Z</cp:lastPrinted>
  <dcterms:modified xsi:type="dcterms:W3CDTF">2025-12-08T00:27:27Z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TemplateDocerSaveRecord">
    <vt:lpwstr>eyJoZGlkIjoiYzgzZDI1NjU2ODJlZTNjYmU1MWMwN2NlODQwMTliNmYiLCJ1c2VySWQiOiI1MDcxNTMxNzIifQ==</vt:lpwstr>
  </property>
  <property fmtid="{D5CDD505-2E9C-101B-9397-08002B2CF9AE}" pid="4" name="ICV">
    <vt:lpwstr>1BDDD49644714477B7C58CFBA9EEC28F_13</vt:lpwstr>
  </property>
</Properties>
</file>