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1"/>
        </w:numPr>
        <w:spacing w:before="107" w:line="219" w:lineRule="auto"/>
        <w:jc w:val="both"/>
        <w:outlineLvl w:val="0"/>
        <w:rPr>
          <w:b/>
          <w:bCs/>
          <w:spacing w:val="3"/>
          <w:sz w:val="33"/>
          <w:szCs w:val="33"/>
          <w:lang w:eastAsia="zh-CN"/>
        </w:rPr>
      </w:pPr>
      <w:r>
        <w:rPr>
          <w:b/>
          <w:bCs/>
          <w:spacing w:val="3"/>
          <w:sz w:val="33"/>
          <w:szCs w:val="33"/>
          <w:lang w:eastAsia="zh-CN"/>
        </w:rPr>
        <w:t>年度</w:t>
      </w:r>
      <w:r>
        <w:rPr>
          <w:rFonts w:hint="eastAsia"/>
          <w:b/>
          <w:bCs/>
          <w:spacing w:val="3"/>
          <w:sz w:val="33"/>
          <w:szCs w:val="33"/>
          <w:lang w:eastAsia="zh-CN"/>
        </w:rPr>
        <w:t>胃肠肿瘤内科</w:t>
      </w:r>
      <w:r>
        <w:rPr>
          <w:b/>
          <w:bCs/>
          <w:spacing w:val="3"/>
          <w:sz w:val="33"/>
          <w:szCs w:val="33"/>
          <w:lang w:eastAsia="zh-CN"/>
        </w:rPr>
        <w:t>进修生培养计划</w:t>
      </w:r>
    </w:p>
    <w:sdt>
      <w:sdtPr>
        <w:rPr>
          <w:lang w:val="zh-CN"/>
        </w:rPr>
        <w:id w:val="-1451388827"/>
        <w:docPartObj>
          <w:docPartGallery w:val="Table of Contents"/>
          <w:docPartUnique/>
        </w:docPartObj>
      </w:sdtPr>
      <w:sdtEndPr>
        <w:rPr>
          <w:lang w:val="zh-CN"/>
        </w:rPr>
      </w:sdtEndPr>
      <w:sdtContent>
        <w:p>
          <w:pPr>
            <w:pStyle w:val="3"/>
            <w:spacing w:before="88" w:line="221" w:lineRule="auto"/>
            <w:jc w:val="center"/>
          </w:pPr>
        </w:p>
      </w:sdtContent>
    </w:sdt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科室简介</w:t>
      </w:r>
    </w:p>
    <w:p>
      <w:pPr>
        <w:ind w:firstLine="840" w:firstLineChars="3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福建省肿瘤医院胃肠肿瘤内科前身是腹部肿瘤内科，科室技术力量雄厚，学科梯队健全，有两个病区合计</w:t>
      </w:r>
      <w:r>
        <w:rPr>
          <w:rFonts w:ascii="Times New Roman" w:hAnsi="Times New Roman" w:eastAsia="宋体" w:cs="Times New Roman"/>
          <w:sz w:val="28"/>
          <w:szCs w:val="28"/>
        </w:rPr>
        <w:t>79张床位，6个主诊</w:t>
      </w:r>
      <w:bookmarkStart w:id="0" w:name="_GoBack"/>
      <w:bookmarkEnd w:id="0"/>
      <w:r>
        <w:rPr>
          <w:rFonts w:ascii="Times New Roman" w:hAnsi="Times New Roman" w:eastAsia="宋体" w:cs="Times New Roman"/>
          <w:sz w:val="28"/>
          <w:szCs w:val="28"/>
        </w:rPr>
        <w:t>组，医师20名，拥有主任医师7名，副主任医师7名；医学博士1名，在职攻读博士学位4名，医学硕士12名，在职攻读硕士学位1名、硕士研究生导师4名，副教授1名，兼职副教授2名。科室成员参编CACA癌症早筛与科普指南、CSCO胃癌诊疗指南、神经内分泌肿瘤诊疗指南，每年新参与国内、国际多中心研究超过20项并能较高质量完成临床研究，目前在研临床研究近60项，发表SCI论文超过40篇，每年有研究进入ASCO、ESMO等重要年会壁报，承担省级及以下科研项目20余项，获“福建省抗癌协会科技进步奖三等奖”1项。2022年科室出院患者超过12000人次，主要收治病种为胃癌及大肠癌，其它病种包括胃肠间质瘤、神经内分泌肿瘤及腹膜、腹膜后肿瘤。目前在胃癌、大肠癌内科诊断与治疗方面处于全省领先水平：通过与胃肠、肝胆胰肿瘤外科、介入科、腹部肿瘤放疗科等多学科协作，提高了晚期胃肠道肿瘤治疗效果；在规范诊疗肿瘤同时加强了姑息与康复治疗，比如化疗相关恶心呕吐（CINV）的规范化治疗、癌痛/难治性癌痛规范化诊疗（GPM），以及营养支持治疗与运动康复训练，努力使患者治疗更舒适、更顺畅，治疗体验更好，更快从肿瘤和抗肿瘤治疗负面影响中恢复</w:t>
      </w:r>
      <w:r>
        <w:rPr>
          <w:rFonts w:hint="eastAsia" w:ascii="Times New Roman" w:hAnsi="Times New Roman" w:eastAsia="宋体" w:cs="Times New Roman"/>
          <w:sz w:val="28"/>
          <w:szCs w:val="28"/>
        </w:rPr>
        <w:t>过来（快速康复），是第一批国家级癌痛规范化治疗（</w:t>
      </w:r>
      <w:r>
        <w:rPr>
          <w:rFonts w:ascii="Times New Roman" w:hAnsi="Times New Roman" w:eastAsia="宋体" w:cs="Times New Roman"/>
          <w:sz w:val="28"/>
          <w:szCs w:val="28"/>
        </w:rPr>
        <w:t>GPM）示范病房、难治性癌痛规范化治疗示范单位、化疗相关恶心呕吐（CINV）规范治疗示范病房。</w:t>
      </w:r>
    </w:p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科室带教老师简介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851"/>
        <w:gridCol w:w="1276"/>
        <w:gridCol w:w="708"/>
        <w:gridCol w:w="993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62" w:type="dxa"/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276" w:type="dxa"/>
          </w:tcPr>
          <w:p>
            <w:pPr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职称</w:t>
            </w:r>
          </w:p>
        </w:tc>
        <w:tc>
          <w:tcPr>
            <w:tcW w:w="708" w:type="dxa"/>
          </w:tcPr>
          <w:p>
            <w:pPr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学位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学历</w:t>
            </w:r>
          </w:p>
        </w:tc>
        <w:tc>
          <w:tcPr>
            <w:tcW w:w="3906" w:type="dxa"/>
          </w:tcPr>
          <w:p>
            <w:pPr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sz w:val="18"/>
                <w:szCs w:val="18"/>
              </w:rPr>
              <w:t>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62" w:type="dxa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陈奕贵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主任医师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硕</w:t>
            </w:r>
            <w:r>
              <w:rPr>
                <w:rFonts w:ascii="Times New Roman" w:hAnsi="Times New Roman" w:eastAsia="宋体" w:cs="Times New Roman"/>
                <w:szCs w:val="21"/>
              </w:rPr>
              <w:t>士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研究生</w:t>
            </w:r>
          </w:p>
        </w:tc>
        <w:tc>
          <w:tcPr>
            <w:tcW w:w="390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从事胃癌、肠癌、间质瘤、神经内分泌肿瘤等腹部肿瘤的诊疗工作，高度重视患者生存质量，在早诊早筛、靶向及免疫治疗、高龄患者的诊疗以及围手术期诊疗经验尤为丰富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62" w:type="dxa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林榕波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主任医师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硕士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研究生</w:t>
            </w:r>
          </w:p>
        </w:tc>
        <w:tc>
          <w:tcPr>
            <w:tcW w:w="390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从事胃癌、肠癌等腹部恶性肿瘤的化疗、生物治疗（分子靶向治疗和免疫治疗等）及癌痛、姑息等对症支持综合治疗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dxa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余家密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主任医师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硕士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研究生</w:t>
            </w:r>
          </w:p>
        </w:tc>
        <w:tc>
          <w:tcPr>
            <w:tcW w:w="390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从事胃癌、肠癌等腹部恶性肿瘤的化疗、生物治疗（分子靶向治疗和免疫治疗等）及营养、姑息综合治疗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62" w:type="dxa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王晓杰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主任医师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研究生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研究生</w:t>
            </w:r>
          </w:p>
        </w:tc>
        <w:tc>
          <w:tcPr>
            <w:tcW w:w="390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从事胃癌、肠癌等腹部恶性肿瘤的化疗、生物治疗（分子靶向治疗和免疫治疗等）及营养、姑息综合治疗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62" w:type="dxa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何牧群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副</w:t>
            </w:r>
            <w:r>
              <w:rPr>
                <w:rFonts w:ascii="Times New Roman" w:hAnsi="Times New Roman" w:eastAsia="宋体" w:cs="Times New Roman"/>
                <w:szCs w:val="21"/>
              </w:rPr>
              <w:t>主任医师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学士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本科</w:t>
            </w:r>
          </w:p>
        </w:tc>
        <w:tc>
          <w:tcPr>
            <w:tcW w:w="390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从事胃癌、肠癌等腹部恶性肿瘤的化疗、生物治疗（分子靶向治疗和免疫治疗等）及营养、姑息综合治疗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62" w:type="dxa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赵珅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副</w:t>
            </w:r>
            <w:r>
              <w:rPr>
                <w:rFonts w:ascii="Times New Roman" w:hAnsi="Times New Roman" w:eastAsia="宋体" w:cs="Times New Roman"/>
                <w:szCs w:val="21"/>
              </w:rPr>
              <w:t>主任医师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硕士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研究生</w:t>
            </w:r>
          </w:p>
        </w:tc>
        <w:tc>
          <w:tcPr>
            <w:tcW w:w="390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从事胃癌、肠癌等腹部恶性肿瘤的化疗、生物治疗（分子靶向治疗和免疫治疗等）及癌痛等综合治疗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dxa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7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郑静娴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副主任医师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硕士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研究生</w:t>
            </w:r>
          </w:p>
        </w:tc>
        <w:tc>
          <w:tcPr>
            <w:tcW w:w="390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从事胃癌、肠癌等腹部恶性肿瘤的化疗、生物治疗（分子靶向治疗和免疫治疗等）及营养、姑息综合治疗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dxa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851" w:type="dxa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蔡雄超</w:t>
            </w:r>
          </w:p>
        </w:tc>
        <w:tc>
          <w:tcPr>
            <w:tcW w:w="1276" w:type="dxa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主治医师</w:t>
            </w:r>
          </w:p>
        </w:tc>
        <w:tc>
          <w:tcPr>
            <w:tcW w:w="708" w:type="dxa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学士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本科</w:t>
            </w:r>
          </w:p>
        </w:tc>
        <w:tc>
          <w:tcPr>
            <w:tcW w:w="3906" w:type="dxa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从事胃癌、肠癌等腹部恶性肿瘤的化疗、生物治疗（分子靶向治疗和免疫治疗等）及营养、姑息综合治疗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宋锦添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主治</w:t>
            </w:r>
            <w:r>
              <w:rPr>
                <w:rFonts w:ascii="Times New Roman" w:hAnsi="Times New Roman" w:eastAsia="宋体" w:cs="Times New Roman"/>
                <w:szCs w:val="21"/>
              </w:rPr>
              <w:t>医师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博</w:t>
            </w:r>
            <w:r>
              <w:rPr>
                <w:rFonts w:ascii="Times New Roman" w:hAnsi="Times New Roman" w:eastAsia="宋体" w:cs="Times New Roman"/>
                <w:szCs w:val="21"/>
              </w:rPr>
              <w:t>士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研究生</w:t>
            </w:r>
          </w:p>
        </w:tc>
        <w:tc>
          <w:tcPr>
            <w:tcW w:w="390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从事胃癌、肠癌等腹部恶性肿瘤的化疗、生物治疗（分子靶向治疗和免疫治疗等）及营养、姑息综合治疗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郑亮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主治</w:t>
            </w:r>
            <w:r>
              <w:rPr>
                <w:rFonts w:ascii="Times New Roman" w:hAnsi="Times New Roman" w:eastAsia="宋体" w:cs="Times New Roman"/>
                <w:szCs w:val="21"/>
              </w:rPr>
              <w:t>医师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硕</w:t>
            </w:r>
            <w:r>
              <w:rPr>
                <w:rFonts w:ascii="Times New Roman" w:hAnsi="Times New Roman" w:eastAsia="宋体" w:cs="Times New Roman"/>
                <w:szCs w:val="21"/>
              </w:rPr>
              <w:t>士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研究生</w:t>
            </w:r>
          </w:p>
        </w:tc>
        <w:tc>
          <w:tcPr>
            <w:tcW w:w="390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从事胃癌、肠癌等腹部恶性肿瘤的化疗、生物治疗（分子靶向治疗和免疫治疗等）及营养、姑息综合治疗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11</w:t>
            </w:r>
          </w:p>
        </w:tc>
        <w:tc>
          <w:tcPr>
            <w:tcW w:w="85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尹一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主治</w:t>
            </w:r>
            <w:r>
              <w:rPr>
                <w:rFonts w:ascii="Times New Roman" w:hAnsi="Times New Roman" w:eastAsia="宋体" w:cs="Times New Roman"/>
                <w:szCs w:val="21"/>
              </w:rPr>
              <w:t>医师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硕</w:t>
            </w:r>
            <w:r>
              <w:rPr>
                <w:rFonts w:ascii="Times New Roman" w:hAnsi="Times New Roman" w:eastAsia="宋体" w:cs="Times New Roman"/>
                <w:szCs w:val="21"/>
              </w:rPr>
              <w:t>士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研究生</w:t>
            </w:r>
          </w:p>
        </w:tc>
        <w:tc>
          <w:tcPr>
            <w:tcW w:w="390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从事胃癌、肠癌等腹部恶性肿瘤的化疗、生物治疗（分子靶向治疗和免疫治疗等）及营养、姑息综合治疗</w:t>
            </w:r>
          </w:p>
        </w:tc>
      </w:tr>
    </w:tbl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br w:type="page"/>
      </w:r>
    </w:p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进修生招收要求：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招收时间：</w:t>
      </w:r>
      <w:r>
        <w:rPr>
          <w:rFonts w:ascii="Times New Roman" w:hAnsi="Times New Roman" w:eastAsia="宋体" w:cs="Times New Roman"/>
          <w:sz w:val="28"/>
          <w:szCs w:val="28"/>
        </w:rPr>
        <w:t>2024年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条件要求</w:t>
      </w:r>
      <w:r>
        <w:rPr>
          <w:rFonts w:ascii="Times New Roman" w:hAnsi="Times New Roman" w:eastAsia="宋体" w:cs="Times New Roman"/>
          <w:sz w:val="28"/>
          <w:szCs w:val="28"/>
        </w:rPr>
        <w:t>(学历、年龄等):肿瘤内科、临床专业的相关医务人员；原则上要求本科以上学历(特殊情况大专学历也可),具备执业医师资格证及注册证；无年龄限制。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进修时限要求</w:t>
      </w:r>
      <w:r>
        <w:rPr>
          <w:rFonts w:ascii="Times New Roman" w:hAnsi="Times New Roman" w:eastAsia="宋体" w:cs="Times New Roman"/>
          <w:sz w:val="28"/>
          <w:szCs w:val="28"/>
        </w:rPr>
        <w:t>:原则上为6个月以上。</w:t>
      </w:r>
    </w:p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进修生培养方案：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培养周期原则上为</w:t>
      </w:r>
      <w:r>
        <w:rPr>
          <w:rFonts w:ascii="Times New Roman" w:hAnsi="Times New Roman" w:eastAsia="宋体" w:cs="Times New Roman"/>
          <w:sz w:val="28"/>
          <w:szCs w:val="28"/>
        </w:rPr>
        <w:t>6个月以上，岗位安排：以</w:t>
      </w:r>
      <w:r>
        <w:rPr>
          <w:rFonts w:hint="eastAsia" w:ascii="Times New Roman" w:hAnsi="Times New Roman" w:eastAsia="宋体" w:cs="Times New Roman"/>
          <w:sz w:val="28"/>
          <w:szCs w:val="28"/>
        </w:rPr>
        <w:t>胃肠</w:t>
      </w:r>
      <w:r>
        <w:rPr>
          <w:rFonts w:ascii="Times New Roman" w:hAnsi="Times New Roman" w:eastAsia="宋体" w:cs="Times New Roman"/>
          <w:sz w:val="28"/>
          <w:szCs w:val="28"/>
        </w:rPr>
        <w:t>肿瘤亚专科轮转为主，酌情根据进修医生的需求进行安排。每批连同当年入科的规培生进行系列的专题讲座及疑难病例讨论，内容覆盖本学科的理论、技术及最新进展。参加医院组织的各类学术活动。在上级医生的带领指导下，能独立进行常见</w:t>
      </w:r>
      <w:r>
        <w:rPr>
          <w:rFonts w:hint="eastAsia" w:ascii="Times New Roman" w:hAnsi="Times New Roman" w:eastAsia="宋体" w:cs="Times New Roman"/>
          <w:sz w:val="28"/>
          <w:szCs w:val="28"/>
        </w:rPr>
        <w:t>胃肠</w:t>
      </w:r>
      <w:r>
        <w:rPr>
          <w:rFonts w:ascii="Times New Roman" w:hAnsi="Times New Roman" w:eastAsia="宋体" w:cs="Times New Roman"/>
          <w:sz w:val="28"/>
          <w:szCs w:val="28"/>
        </w:rPr>
        <w:t>肿瘤的综合诊疗，并进行相关的临床病例总结工作及科研工作。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br w:type="page"/>
      </w:r>
    </w:p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培养内容(学习时间：六个月至一年)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268"/>
        <w:gridCol w:w="2552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培训内容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</w:rPr>
              <w:t>预期目标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</w:rPr>
              <w:t>培训形式</w:t>
            </w:r>
          </w:p>
        </w:tc>
        <w:tc>
          <w:tcPr>
            <w:tcW w:w="1071" w:type="dxa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</w:rPr>
              <w:t>带教老师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</w:rPr>
              <w:t>1.胃肠</w:t>
            </w:r>
            <w:r>
              <w:rPr>
                <w:rFonts w:ascii="Times New Roman" w:hAnsi="Times New Roman" w:eastAsia="宋体" w:cs="Times New Roman"/>
              </w:rPr>
              <w:t>肿瘤内科常见恶性肿瘤的临床特点，诊断标准，综合治疗原则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</w:rPr>
              <w:t>掌握</w:t>
            </w:r>
            <w:r>
              <w:rPr>
                <w:rFonts w:hint="eastAsia" w:ascii="Times New Roman" w:hAnsi="Times New Roman" w:eastAsia="宋体" w:cs="Times New Roman"/>
              </w:rPr>
              <w:t>肿瘤内</w:t>
            </w:r>
            <w:r>
              <w:rPr>
                <w:rFonts w:ascii="Times New Roman" w:hAnsi="Times New Roman" w:eastAsia="宋体" w:cs="Times New Roman"/>
              </w:rPr>
              <w:t>科治疗原则，常见</w:t>
            </w:r>
            <w:r>
              <w:rPr>
                <w:rFonts w:hint="eastAsia" w:ascii="Times New Roman" w:hAnsi="Times New Roman" w:eastAsia="宋体" w:cs="Times New Roman"/>
              </w:rPr>
              <w:t>胸部肿瘤内科</w:t>
            </w:r>
            <w:r>
              <w:rPr>
                <w:rFonts w:ascii="Times New Roman" w:hAnsi="Times New Roman" w:eastAsia="宋体" w:cs="Times New Roman"/>
              </w:rPr>
              <w:t>治疗规范；肿瘤</w:t>
            </w:r>
            <w:r>
              <w:rPr>
                <w:rFonts w:hint="eastAsia" w:ascii="Times New Roman" w:hAnsi="Times New Roman" w:eastAsia="宋体" w:cs="Times New Roman"/>
              </w:rPr>
              <w:t>治疗</w:t>
            </w:r>
            <w:r>
              <w:rPr>
                <w:rFonts w:ascii="Times New Roman" w:hAnsi="Times New Roman" w:eastAsia="宋体" w:cs="Times New Roman"/>
              </w:rPr>
              <w:t>适应症、禁忌症</w:t>
            </w:r>
          </w:p>
        </w:tc>
        <w:tc>
          <w:tcPr>
            <w:tcW w:w="255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1.以</w:t>
            </w:r>
            <w:r>
              <w:rPr>
                <w:rFonts w:hint="eastAsia" w:ascii="Times New Roman" w:hAnsi="Times New Roman" w:eastAsia="宋体" w:cs="Times New Roman"/>
              </w:rPr>
              <w:t>CSCO指南</w:t>
            </w:r>
            <w:r>
              <w:rPr>
                <w:rFonts w:ascii="Times New Roman" w:hAnsi="Times New Roman" w:eastAsia="宋体" w:cs="Times New Roman"/>
              </w:rPr>
              <w:t>为基本教材教学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2.教师示范及实</w:t>
            </w:r>
            <w:r>
              <w:rPr>
                <w:rFonts w:hint="eastAsia" w:ascii="Times New Roman" w:hAnsi="Times New Roman" w:eastAsia="宋体" w:cs="Times New Roman"/>
              </w:rPr>
              <w:t>践操作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3.结合临床</w:t>
            </w:r>
            <w:r>
              <w:rPr>
                <w:rFonts w:hint="eastAsia" w:ascii="Times New Roman" w:hAnsi="Times New Roman" w:eastAsia="宋体" w:cs="Times New Roman"/>
              </w:rPr>
              <w:t>分析典型与非典型病例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</w:rPr>
              <w:t>4.专题讲座</w:t>
            </w:r>
          </w:p>
        </w:tc>
        <w:tc>
          <w:tcPr>
            <w:tcW w:w="1071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陈奕贵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林榕波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余家密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王晓杰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何牧群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赵珅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郑静娴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蔡雄超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宋锦添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郑亮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尹一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2.肿瘤</w:t>
            </w:r>
            <w:r>
              <w:rPr>
                <w:rFonts w:hint="eastAsia" w:ascii="Times New Roman" w:hAnsi="Times New Roman" w:eastAsia="宋体" w:cs="Times New Roman"/>
              </w:rPr>
              <w:t>内科三基培训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肿瘤相关急症的观察检测和处理</w:t>
            </w:r>
          </w:p>
        </w:tc>
        <w:tc>
          <w:tcPr>
            <w:tcW w:w="2552" w:type="dxa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1.以</w:t>
            </w:r>
            <w:r>
              <w:rPr>
                <w:rFonts w:hint="eastAsia" w:ascii="Times New Roman" w:hAnsi="Times New Roman" w:eastAsia="宋体" w:cs="Times New Roman"/>
              </w:rPr>
              <w:t>相关诊疗规范</w:t>
            </w:r>
            <w:r>
              <w:rPr>
                <w:rFonts w:ascii="Times New Roman" w:hAnsi="Times New Roman" w:eastAsia="宋体" w:cs="Times New Roman"/>
              </w:rPr>
              <w:t>为基本教材教学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2.结合临床病例进行分析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3.专题讲座</w:t>
            </w:r>
          </w:p>
        </w:tc>
        <w:tc>
          <w:tcPr>
            <w:tcW w:w="1071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陈奕贵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林榕波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余家密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王晓杰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何牧群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赵珅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郑静娴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蔡雄超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宋锦添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郑亮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尹一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</w:rPr>
              <w:t>3.胃肠肿瘤内科新进展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</w:rPr>
              <w:t>具备一定阅读外文文献、临床科研能力</w:t>
            </w:r>
          </w:p>
        </w:tc>
        <w:tc>
          <w:tcPr>
            <w:tcW w:w="2552" w:type="dxa"/>
          </w:tcPr>
          <w:p>
            <w:pPr>
              <w:pStyle w:val="15"/>
              <w:numPr>
                <w:ilvl w:val="0"/>
                <w:numId w:val="2"/>
              </w:numPr>
              <w:ind w:firstLineChars="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文献晨读</w:t>
            </w:r>
          </w:p>
          <w:p>
            <w:pPr>
              <w:pStyle w:val="15"/>
              <w:numPr>
                <w:ilvl w:val="0"/>
                <w:numId w:val="2"/>
              </w:numPr>
              <w:ind w:firstLineChars="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高质量综述精读</w:t>
            </w:r>
          </w:p>
          <w:p>
            <w:pPr>
              <w:pStyle w:val="15"/>
              <w:numPr>
                <w:ilvl w:val="0"/>
                <w:numId w:val="2"/>
              </w:numPr>
              <w:ind w:firstLineChars="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新进展专题讲座</w:t>
            </w:r>
          </w:p>
        </w:tc>
        <w:tc>
          <w:tcPr>
            <w:tcW w:w="1071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陈奕贵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林榕波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余家密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王晓杰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何牧群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赵珅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郑静娴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蔡雄超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宋锦添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郑亮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尹一</w:t>
            </w:r>
          </w:p>
        </w:tc>
      </w:tr>
    </w:tbl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br w:type="page"/>
      </w:r>
    </w:p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进修生培养计划：</w:t>
      </w:r>
    </w:p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一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、入科教育</w:t>
      </w:r>
    </w:p>
    <w:p>
      <w:pPr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1.进行重要医疗法规的宣传教育，包括《执业医师法》、《医疗</w:t>
      </w:r>
      <w:r>
        <w:rPr>
          <w:rFonts w:hint="eastAsia" w:ascii="Times New Roman" w:hAnsi="Times New Roman" w:eastAsia="宋体" w:cs="Times New Roman"/>
          <w:sz w:val="28"/>
          <w:szCs w:val="28"/>
        </w:rPr>
        <w:t>事故处理条例》及相关细则等；</w:t>
      </w:r>
    </w:p>
    <w:p>
      <w:pPr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2.科室的基本情况及规章制度(查对制度、危急值制度、医疗</w:t>
      </w:r>
      <w:r>
        <w:rPr>
          <w:rFonts w:hint="eastAsia" w:ascii="Times New Roman" w:hAnsi="Times New Roman" w:eastAsia="宋体" w:cs="Times New Roman"/>
          <w:sz w:val="28"/>
          <w:szCs w:val="28"/>
        </w:rPr>
        <w:t>差错与安全不良事件报告及奖惩、培训、请假等事宜</w:t>
      </w:r>
      <w:r>
        <w:rPr>
          <w:rFonts w:ascii="Times New Roman" w:hAnsi="Times New Roman" w:eastAsia="宋体" w:cs="Times New Roman"/>
          <w:sz w:val="28"/>
          <w:szCs w:val="28"/>
        </w:rPr>
        <w:t>);</w:t>
      </w:r>
    </w:p>
    <w:p>
      <w:pPr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3.仪器设备的使用规范及注意事项；</w:t>
      </w:r>
    </w:p>
    <w:p>
      <w:pPr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4.医疗工作中医患关系的妥善处理及需要注意的问题；</w:t>
      </w:r>
      <w:r>
        <w:rPr>
          <w:rFonts w:hint="eastAsia" w:ascii="Times New Roman" w:hAnsi="Times New Roman" w:eastAsia="宋体" w:cs="Times New Roman"/>
          <w:sz w:val="28"/>
          <w:szCs w:val="28"/>
        </w:rPr>
        <w:t>务必使进修医师能彻底理解相关法规，做到依法行医，加强自我保护，培养进修医师严格按照常规办事的概念。</w:t>
      </w:r>
    </w:p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二、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考勤管理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科室进修管理员</w:t>
      </w:r>
      <w:r>
        <w:rPr>
          <w:rFonts w:hint="eastAsia" w:ascii="Times New Roman" w:hAnsi="Times New Roman" w:eastAsia="宋体" w:cs="Times New Roman"/>
          <w:sz w:val="28"/>
          <w:szCs w:val="28"/>
        </w:rPr>
        <w:t>做好进修生登记工作。原则上不允许中途回原单位或家乡。特殊情况确有需要者，需填写进修人员培训考核记录手册中的请假单，根据要求程序进行申请，并附有关证明文件之原件备案，经同意后方可准假，并应在规定时间内返回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进修生接受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教育处</w:t>
      </w:r>
      <w:r>
        <w:rPr>
          <w:rFonts w:hint="eastAsia" w:ascii="Times New Roman" w:hAnsi="Times New Roman" w:eastAsia="宋体" w:cs="Times New Roman"/>
          <w:sz w:val="28"/>
          <w:szCs w:val="28"/>
        </w:rPr>
        <w:t>查岗，凡未办理请假手续私自旷工超过两次的将报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科主任</w:t>
      </w:r>
      <w:r>
        <w:rPr>
          <w:rFonts w:hint="eastAsia" w:ascii="Times New Roman" w:hAnsi="Times New Roman" w:eastAsia="宋体" w:cs="Times New Roman"/>
          <w:sz w:val="28"/>
          <w:szCs w:val="28"/>
        </w:rPr>
        <w:t>，申请取消进修资格。</w:t>
      </w:r>
    </w:p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三、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业务学习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1.每周一次，举办由科主任、副主任医师等主讲的讲</w:t>
      </w:r>
      <w:r>
        <w:rPr>
          <w:rFonts w:hint="eastAsia" w:ascii="Times New Roman" w:hAnsi="Times New Roman" w:eastAsia="宋体" w:cs="Times New Roman"/>
          <w:sz w:val="28"/>
          <w:szCs w:val="28"/>
        </w:rPr>
        <w:t>座。内容包括本专业的理论、技术及最新进展。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2.每两周一次，举办规范化诊疗培训。内容以NCCN指南、CSCO指南为主。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3</w:t>
      </w:r>
      <w:r>
        <w:rPr>
          <w:rFonts w:ascii="Times New Roman" w:hAnsi="Times New Roman" w:eastAsia="宋体" w:cs="Times New Roman"/>
          <w:sz w:val="28"/>
          <w:szCs w:val="28"/>
        </w:rPr>
        <w:t>.每周安排科内高年资主治以上医师组织新知识介绍及疑难病例讨</w:t>
      </w:r>
      <w:r>
        <w:rPr>
          <w:rFonts w:hint="eastAsia" w:ascii="Times New Roman" w:hAnsi="Times New Roman" w:eastAsia="宋体" w:cs="Times New Roman"/>
          <w:sz w:val="28"/>
          <w:szCs w:val="28"/>
        </w:rPr>
        <w:t>论。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4</w:t>
      </w:r>
      <w:r>
        <w:rPr>
          <w:rFonts w:ascii="Times New Roman" w:hAnsi="Times New Roman" w:eastAsia="宋体" w:cs="Times New Roman"/>
          <w:sz w:val="28"/>
          <w:szCs w:val="28"/>
        </w:rPr>
        <w:t>.各</w:t>
      </w:r>
      <w:r>
        <w:rPr>
          <w:rFonts w:hint="eastAsia" w:ascii="Times New Roman" w:hAnsi="Times New Roman" w:eastAsia="宋体" w:cs="Times New Roman"/>
          <w:sz w:val="28"/>
          <w:szCs w:val="28"/>
        </w:rPr>
        <w:t>科室</w:t>
      </w:r>
      <w:r>
        <w:rPr>
          <w:rFonts w:ascii="Times New Roman" w:hAnsi="Times New Roman" w:eastAsia="宋体" w:cs="Times New Roman"/>
          <w:sz w:val="28"/>
          <w:szCs w:val="28"/>
        </w:rPr>
        <w:t>专业组带教老师结合</w:t>
      </w:r>
      <w:r>
        <w:rPr>
          <w:rFonts w:hint="eastAsia" w:ascii="Times New Roman" w:hAnsi="Times New Roman" w:eastAsia="宋体" w:cs="Times New Roman"/>
          <w:sz w:val="28"/>
          <w:szCs w:val="28"/>
        </w:rPr>
        <w:t>临床病例</w:t>
      </w:r>
      <w:r>
        <w:rPr>
          <w:rFonts w:ascii="Times New Roman" w:hAnsi="Times New Roman" w:eastAsia="宋体" w:cs="Times New Roman"/>
          <w:sz w:val="28"/>
          <w:szCs w:val="28"/>
        </w:rPr>
        <w:t>，自行安排小讲课。</w:t>
      </w:r>
    </w:p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四、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操作示教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完成日常工作的前提下，尽量创造条件让进修医生独立操作</w:t>
      </w:r>
      <w:r>
        <w:rPr>
          <w:rFonts w:hint="eastAsia" w:ascii="Times New Roman" w:hAnsi="Times New Roman" w:eastAsia="宋体" w:cs="Times New Roman"/>
          <w:sz w:val="28"/>
          <w:szCs w:val="28"/>
        </w:rPr>
        <w:t>检查病人，老师复核讲解。</w:t>
      </w:r>
    </w:p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五、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 xml:space="preserve">继续教育   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1.鼓励进修医师参加或旁听医院</w:t>
      </w:r>
      <w:r>
        <w:rPr>
          <w:rFonts w:hint="eastAsia" w:ascii="Times New Roman" w:hAnsi="Times New Roman" w:eastAsia="宋体" w:cs="Times New Roman"/>
          <w:sz w:val="28"/>
          <w:szCs w:val="28"/>
        </w:rPr>
        <w:t>、科室</w:t>
      </w:r>
      <w:r>
        <w:rPr>
          <w:rFonts w:ascii="Times New Roman" w:hAnsi="Times New Roman" w:eastAsia="宋体" w:cs="Times New Roman"/>
          <w:sz w:val="28"/>
          <w:szCs w:val="28"/>
        </w:rPr>
        <w:t>举办的各种继续教育学习班</w:t>
      </w:r>
      <w:r>
        <w:rPr>
          <w:rFonts w:hint="eastAsia" w:ascii="Times New Roman" w:hAnsi="Times New Roman" w:eastAsia="宋体" w:cs="Times New Roman"/>
          <w:sz w:val="28"/>
          <w:szCs w:val="28"/>
        </w:rPr>
        <w:t>。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2.向进修医师推送</w:t>
      </w:r>
      <w:r>
        <w:rPr>
          <w:rFonts w:hint="eastAsia" w:ascii="Times New Roman" w:hAnsi="Times New Roman" w:eastAsia="宋体" w:cs="Times New Roman"/>
          <w:sz w:val="28"/>
          <w:szCs w:val="28"/>
        </w:rPr>
        <w:t>肿瘤内科</w:t>
      </w:r>
      <w:r>
        <w:rPr>
          <w:rFonts w:ascii="Times New Roman" w:hAnsi="Times New Roman" w:eastAsia="宋体" w:cs="Times New Roman"/>
          <w:sz w:val="28"/>
          <w:szCs w:val="28"/>
        </w:rPr>
        <w:t>的教材</w:t>
      </w:r>
      <w:r>
        <w:rPr>
          <w:rFonts w:hint="eastAsia" w:ascii="Times New Roman" w:hAnsi="Times New Roman" w:eastAsia="宋体" w:cs="Times New Roman"/>
          <w:sz w:val="28"/>
          <w:szCs w:val="28"/>
        </w:rPr>
        <w:t>。</w:t>
      </w:r>
    </w:p>
    <w:p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六、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考核考评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1.进修生结束前按照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教育处</w:t>
      </w:r>
      <w:r>
        <w:rPr>
          <w:rFonts w:ascii="Times New Roman" w:hAnsi="Times New Roman" w:eastAsia="宋体" w:cs="Times New Roman"/>
          <w:sz w:val="28"/>
          <w:szCs w:val="28"/>
        </w:rPr>
        <w:t>要求，填写好进修生考核记录手册；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2.进修结束时，由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带教科室进行</w:t>
      </w:r>
      <w:r>
        <w:rPr>
          <w:rFonts w:ascii="Times New Roman" w:hAnsi="Times New Roman" w:eastAsia="宋体" w:cs="Times New Roman"/>
          <w:sz w:val="28"/>
          <w:szCs w:val="28"/>
        </w:rPr>
        <w:t>理论考试；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3.由科主任任命考核老师，对进修医师进行技能操作考核，保留</w:t>
      </w:r>
      <w:r>
        <w:rPr>
          <w:rFonts w:hint="eastAsia" w:ascii="Times New Roman" w:hAnsi="Times New Roman" w:eastAsia="宋体" w:cs="Times New Roman"/>
          <w:sz w:val="28"/>
          <w:szCs w:val="28"/>
        </w:rPr>
        <w:t>试卷原件，试卷上须有考核老师评卷痕迹、分数，签名并注明日期；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4.进修生进修结束后应对其所学内容进行概括总结、并制作PPT</w:t>
      </w:r>
      <w:r>
        <w:rPr>
          <w:rFonts w:hint="eastAsia" w:ascii="Times New Roman" w:hAnsi="Times New Roman" w:eastAsia="宋体" w:cs="Times New Roman"/>
          <w:sz w:val="28"/>
          <w:szCs w:val="28"/>
        </w:rPr>
        <w:t>于科内演讲；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5.由科主任及带教医师对进修医师平时的职业道德、劳动纪律</w:t>
      </w:r>
      <w:r>
        <w:rPr>
          <w:rFonts w:hint="eastAsia" w:ascii="Times New Roman" w:hAnsi="Times New Roman" w:eastAsia="宋体" w:cs="Times New Roman"/>
          <w:sz w:val="28"/>
          <w:szCs w:val="28"/>
        </w:rPr>
        <w:t>、床操作能力、病史书写作出评分。</w:t>
      </w:r>
    </w:p>
    <w:p>
      <w:pP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left w:val="single" w:color="4472C4" w:themeColor="accent1" w:sz="12" w:space="11"/>
      </w:pBdr>
      <w:tabs>
        <w:tab w:val="left" w:pos="622"/>
      </w:tabs>
      <w:rPr>
        <w:rFonts w:asciiTheme="majorHAnsi" w:hAnsiTheme="majorHAnsi" w:eastAsiaTheme="majorEastAsia" w:cstheme="majorBidi"/>
        <w:color w:val="2F5597" w:themeColor="accent1" w:themeShade="BF"/>
        <w:sz w:val="26"/>
        <w:szCs w:val="26"/>
      </w:rPr>
    </w:pPr>
    <w:r>
      <w:rPr>
        <w:rFonts w:asciiTheme="majorHAnsi" w:hAnsiTheme="majorHAnsi" w:eastAsiaTheme="majorEastAsia" w:cstheme="majorBidi"/>
        <w:color w:val="2F5597" w:themeColor="accent1" w:themeShade="BF"/>
        <w:sz w:val="26"/>
        <w:szCs w:val="26"/>
      </w:rPr>
      <w:fldChar w:fldCharType="begin"/>
    </w:r>
    <w:r>
      <w:rPr>
        <w:rFonts w:asciiTheme="majorHAnsi" w:hAnsiTheme="majorHAnsi" w:eastAsiaTheme="majorEastAsia" w:cstheme="majorBidi"/>
        <w:color w:val="2F5597" w:themeColor="accent1" w:themeShade="BF"/>
        <w:sz w:val="26"/>
        <w:szCs w:val="26"/>
      </w:rPr>
      <w:instrText xml:space="preserve">PAGE   \* MERGEFORMAT</w:instrText>
    </w:r>
    <w:r>
      <w:rPr>
        <w:rFonts w:asciiTheme="majorHAnsi" w:hAnsiTheme="majorHAnsi" w:eastAsiaTheme="majorEastAsia" w:cstheme="majorBidi"/>
        <w:color w:val="2F5597" w:themeColor="accent1" w:themeShade="BF"/>
        <w:sz w:val="26"/>
        <w:szCs w:val="26"/>
      </w:rPr>
      <w:fldChar w:fldCharType="separate"/>
    </w:r>
    <w:r>
      <w:rPr>
        <w:rFonts w:asciiTheme="majorHAnsi" w:hAnsiTheme="majorHAnsi" w:eastAsiaTheme="majorEastAsia" w:cstheme="majorBidi"/>
        <w:color w:val="2F5597" w:themeColor="accent1" w:themeShade="BF"/>
        <w:sz w:val="26"/>
        <w:szCs w:val="26"/>
        <w:lang w:val="zh-CN"/>
      </w:rPr>
      <w:t>2</w:t>
    </w:r>
    <w:r>
      <w:rPr>
        <w:rFonts w:asciiTheme="majorHAnsi" w:hAnsiTheme="majorHAnsi" w:eastAsiaTheme="majorEastAsia" w:cstheme="majorBidi"/>
        <w:color w:val="2F5597" w:themeColor="accent1" w:themeShade="BF"/>
        <w:sz w:val="26"/>
        <w:szCs w:val="26"/>
      </w:rP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3F260E"/>
    <w:multiLevelType w:val="multilevel"/>
    <w:tmpl w:val="423F260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7F4D1316"/>
    <w:multiLevelType w:val="multilevel"/>
    <w:tmpl w:val="7F4D1316"/>
    <w:lvl w:ilvl="0" w:tentative="0">
      <w:start w:val="2024"/>
      <w:numFmt w:val="decimal"/>
      <w:lvlText w:val="%1"/>
      <w:lvlJc w:val="left"/>
      <w:pPr>
        <w:ind w:left="1997" w:hanging="6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2217" w:hanging="440"/>
      </w:pPr>
    </w:lvl>
    <w:lvl w:ilvl="2" w:tentative="0">
      <w:start w:val="1"/>
      <w:numFmt w:val="lowerRoman"/>
      <w:lvlText w:val="%3."/>
      <w:lvlJc w:val="right"/>
      <w:pPr>
        <w:ind w:left="2657" w:hanging="440"/>
      </w:pPr>
    </w:lvl>
    <w:lvl w:ilvl="3" w:tentative="0">
      <w:start w:val="1"/>
      <w:numFmt w:val="decimal"/>
      <w:lvlText w:val="%4."/>
      <w:lvlJc w:val="left"/>
      <w:pPr>
        <w:ind w:left="3097" w:hanging="440"/>
      </w:pPr>
    </w:lvl>
    <w:lvl w:ilvl="4" w:tentative="0">
      <w:start w:val="1"/>
      <w:numFmt w:val="lowerLetter"/>
      <w:lvlText w:val="%5)"/>
      <w:lvlJc w:val="left"/>
      <w:pPr>
        <w:ind w:left="3537" w:hanging="440"/>
      </w:pPr>
    </w:lvl>
    <w:lvl w:ilvl="5" w:tentative="0">
      <w:start w:val="1"/>
      <w:numFmt w:val="lowerRoman"/>
      <w:lvlText w:val="%6."/>
      <w:lvlJc w:val="right"/>
      <w:pPr>
        <w:ind w:left="3977" w:hanging="440"/>
      </w:pPr>
    </w:lvl>
    <w:lvl w:ilvl="6" w:tentative="0">
      <w:start w:val="1"/>
      <w:numFmt w:val="decimal"/>
      <w:lvlText w:val="%7."/>
      <w:lvlJc w:val="left"/>
      <w:pPr>
        <w:ind w:left="4417" w:hanging="440"/>
      </w:pPr>
    </w:lvl>
    <w:lvl w:ilvl="7" w:tentative="0">
      <w:start w:val="1"/>
      <w:numFmt w:val="lowerLetter"/>
      <w:lvlText w:val="%8)"/>
      <w:lvlJc w:val="left"/>
      <w:pPr>
        <w:ind w:left="4857" w:hanging="440"/>
      </w:pPr>
    </w:lvl>
    <w:lvl w:ilvl="8" w:tentative="0">
      <w:start w:val="1"/>
      <w:numFmt w:val="lowerRoman"/>
      <w:lvlText w:val="%9."/>
      <w:lvlJc w:val="right"/>
      <w:pPr>
        <w:ind w:left="5297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jM2YyOWFmOTVjZWM5MGQ1NGUzMDM4MWY5NDI3YWYifQ=="/>
    <w:docVar w:name="KY_MEDREF_DOCUID" w:val="{FAD8FAB7-6221-4807-9B93-3D4994AEA4C3}"/>
    <w:docVar w:name="KY_MEDREF_VERSION" w:val="3"/>
  </w:docVars>
  <w:rsids>
    <w:rsidRoot w:val="008B5AEF"/>
    <w:rsid w:val="00005ED5"/>
    <w:rsid w:val="000153A7"/>
    <w:rsid w:val="00050B63"/>
    <w:rsid w:val="0009664D"/>
    <w:rsid w:val="000A4555"/>
    <w:rsid w:val="000E0916"/>
    <w:rsid w:val="00132DE7"/>
    <w:rsid w:val="001C36F0"/>
    <w:rsid w:val="00295890"/>
    <w:rsid w:val="00357B65"/>
    <w:rsid w:val="00380655"/>
    <w:rsid w:val="004778F7"/>
    <w:rsid w:val="00602A33"/>
    <w:rsid w:val="006E65C5"/>
    <w:rsid w:val="00794E44"/>
    <w:rsid w:val="007A7E93"/>
    <w:rsid w:val="007B509F"/>
    <w:rsid w:val="008A693C"/>
    <w:rsid w:val="008B5AEF"/>
    <w:rsid w:val="00A75DA9"/>
    <w:rsid w:val="00AF7766"/>
    <w:rsid w:val="00BC2BE9"/>
    <w:rsid w:val="00C85EA3"/>
    <w:rsid w:val="00CC6F82"/>
    <w:rsid w:val="00D86604"/>
    <w:rsid w:val="00E034A8"/>
    <w:rsid w:val="00F22EC5"/>
    <w:rsid w:val="00FA3382"/>
    <w:rsid w:val="767372E0"/>
    <w:rsid w:val="76CD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7"/>
      <w:szCs w:val="27"/>
      <w:lang w:eastAsia="en-US"/>
    </w:rPr>
  </w:style>
  <w:style w:type="paragraph" w:styleId="4">
    <w:name w:val="toc 3"/>
    <w:basedOn w:val="1"/>
    <w:next w:val="1"/>
    <w:autoRedefine/>
    <w:unhideWhenUsed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14:ligatures w14:val="none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  <w14:ligatures w14:val="none"/>
    </w:rPr>
  </w:style>
  <w:style w:type="paragraph" w:styleId="8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  <w14:ligatures w14:val="none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4">
    <w:name w:val="正文文本 字符"/>
    <w:basedOn w:val="11"/>
    <w:link w:val="3"/>
    <w:autoRedefine/>
    <w:semiHidden/>
    <w:qFormat/>
    <w:uiPriority w:val="0"/>
    <w:rPr>
      <w:rFonts w:ascii="宋体" w:hAnsi="宋体" w:eastAsia="宋体" w:cs="宋体"/>
      <w:snapToGrid w:val="0"/>
      <w:color w:val="000000"/>
      <w:kern w:val="0"/>
      <w:sz w:val="27"/>
      <w:szCs w:val="27"/>
      <w:lang w:eastAsia="en-US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16">
    <w:name w:val="Table Normal"/>
    <w:autoRedefine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0"/>
      <w:szCs w:val="20"/>
      <w:lang w:eastAsia="en-US"/>
      <w14:ligatures w14:val="none"/>
    </w:rPr>
  </w:style>
  <w:style w:type="character" w:customStyle="1" w:styleId="18">
    <w:name w:val="标题 1 字符"/>
    <w:basedOn w:val="11"/>
    <w:link w:val="2"/>
    <w:autoRedefine/>
    <w:qFormat/>
    <w:uiPriority w:val="9"/>
    <w:rPr>
      <w:b/>
      <w:bCs/>
      <w:kern w:val="44"/>
      <w:sz w:val="44"/>
      <w:szCs w:val="44"/>
    </w:rPr>
  </w:style>
  <w:style w:type="paragraph" w:customStyle="1" w:styleId="19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B3DC4-A694-46A1-B1CD-44ECA428D2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468</Words>
  <Characters>2674</Characters>
  <Lines>22</Lines>
  <Paragraphs>6</Paragraphs>
  <TotalTime>28</TotalTime>
  <ScaleCrop>false</ScaleCrop>
  <LinksUpToDate>false</LinksUpToDate>
  <CharactersWithSpaces>3136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2024-03-13T13:01:00Z</dcterms:created>
  <dc:creator>176093416@qq.com</dc:creator>
  <cp:lastModifiedBy>莫莫</cp:lastModifiedBy>
  <dcterms:modified xsi:type="dcterms:W3CDTF">2024-05-06T01:37:20Z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5A8148C5EFD44F30B62753F419A75141_12</vt:lpwstr>
  </property>
</Properties>
</file>