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20" w:line="245" w:lineRule="auto"/>
        <w:ind w:left="-105" w:leftChars="-50" w:right="113"/>
        <w:jc w:val="left"/>
        <w:textAlignment w:val="baseline"/>
        <w:rPr>
          <w:rFonts w:eastAsia="宋体"/>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firstLine="1309" w:firstLineChars="400"/>
        <w:jc w:val="left"/>
        <w:textAlignment w:val="baseline"/>
        <w:outlineLvl w:val="0"/>
        <w:rPr>
          <w:sz w:val="32"/>
          <w:szCs w:val="32"/>
          <w:lang w:eastAsia="zh-CN"/>
        </w:rPr>
      </w:pPr>
      <w:bookmarkStart w:id="0" w:name="bookmark1"/>
      <w:bookmarkEnd w:id="0"/>
      <w:r>
        <w:rPr>
          <w:rFonts w:hint="eastAsia" w:ascii="Times New Roman" w:hAnsi="Times New Roman" w:cs="Times New Roman"/>
          <w:b/>
          <w:bCs/>
          <w:spacing w:val="3"/>
          <w:sz w:val="32"/>
          <w:szCs w:val="32"/>
          <w:lang w:eastAsia="zh-CN"/>
        </w:rPr>
        <w:t>2024</w:t>
      </w:r>
      <w:r>
        <w:rPr>
          <w:rFonts w:ascii="Times New Roman" w:hAnsi="Times New Roman" w:eastAsia="Times New Roman" w:cs="Times New Roman"/>
          <w:b/>
          <w:bCs/>
          <w:spacing w:val="3"/>
          <w:sz w:val="32"/>
          <w:szCs w:val="32"/>
          <w:lang w:eastAsia="zh-CN"/>
        </w:rPr>
        <w:t xml:space="preserve"> </w:t>
      </w:r>
      <w:r>
        <w:rPr>
          <w:b/>
          <w:bCs/>
          <w:spacing w:val="3"/>
          <w:sz w:val="32"/>
          <w:szCs w:val="32"/>
          <w:lang w:eastAsia="zh-CN"/>
        </w:rPr>
        <w:t>年度</w:t>
      </w:r>
      <w:r>
        <w:rPr>
          <w:rFonts w:hint="eastAsia"/>
          <w:b/>
          <w:bCs/>
          <w:spacing w:val="3"/>
          <w:sz w:val="32"/>
          <w:szCs w:val="32"/>
          <w:lang w:eastAsia="zh-CN"/>
        </w:rPr>
        <w:t>泌尿肿瘤外科</w:t>
      </w:r>
      <w:r>
        <w:rPr>
          <w:b/>
          <w:bCs/>
          <w:spacing w:val="3"/>
          <w:sz w:val="32"/>
          <w:szCs w:val="32"/>
          <w:lang w:eastAsia="zh-CN"/>
        </w:rPr>
        <w:t>进修生培养计划</w:t>
      </w:r>
    </w:p>
    <w:p>
      <w:pPr>
        <w:keepNext w:val="0"/>
        <w:keepLines w:val="0"/>
        <w:pageBreakBefore w:val="0"/>
        <w:widowControl/>
        <w:kinsoku w:val="0"/>
        <w:wordWrap/>
        <w:overflowPunct/>
        <w:topLinePunct w:val="0"/>
        <w:autoSpaceDE w:val="0"/>
        <w:autoSpaceDN w:val="0"/>
        <w:bidi w:val="0"/>
        <w:adjustRightInd w:val="0"/>
        <w:snapToGrid w:val="0"/>
        <w:spacing w:before="120" w:line="246" w:lineRule="auto"/>
        <w:ind w:left="-105" w:leftChars="-50" w:right="113"/>
        <w:jc w:val="left"/>
        <w:textAlignment w:val="baseline"/>
        <w:rPr>
          <w:lang w:eastAsia="zh-CN"/>
        </w:rPr>
      </w:pPr>
    </w:p>
    <w:p>
      <w:pPr>
        <w:pStyle w:val="2"/>
        <w:keepNext w:val="0"/>
        <w:keepLines w:val="0"/>
        <w:pageBreakBefore w:val="0"/>
        <w:widowControl/>
        <w:tabs>
          <w:tab w:val="left" w:pos="9240"/>
          <w:tab w:val="left" w:pos="9450"/>
          <w:tab w:val="left" w:pos="9660"/>
        </w:tabs>
        <w:kinsoku w:val="0"/>
        <w:wordWrap/>
        <w:overflowPunct/>
        <w:topLinePunct w:val="0"/>
        <w:autoSpaceDE w:val="0"/>
        <w:autoSpaceDN w:val="0"/>
        <w:bidi w:val="0"/>
        <w:adjustRightInd w:val="0"/>
        <w:snapToGrid w:val="0"/>
        <w:spacing w:before="120" w:line="219" w:lineRule="auto"/>
        <w:ind w:left="-105" w:leftChars="-50" w:right="113" w:rightChars="0" w:firstLine="510" w:firstLineChars="200"/>
        <w:jc w:val="left"/>
        <w:textAlignment w:val="baseline"/>
        <w:rPr>
          <w:sz w:val="30"/>
          <w:szCs w:val="30"/>
          <w:lang w:eastAsia="zh-CN"/>
        </w:rPr>
      </w:pPr>
      <w:r>
        <w:rPr>
          <w:b/>
          <w:bCs/>
          <w:spacing w:val="-23"/>
          <w:sz w:val="30"/>
          <w:szCs w:val="30"/>
          <w:lang w:eastAsia="zh-CN"/>
        </w:rPr>
        <w:t>科室特色：</w:t>
      </w:r>
    </w:p>
    <w:p>
      <w:pPr>
        <w:pStyle w:val="2"/>
        <w:keepNext w:val="0"/>
        <w:keepLines w:val="0"/>
        <w:pageBreakBefore w:val="0"/>
        <w:widowControl/>
        <w:kinsoku w:val="0"/>
        <w:wordWrap/>
        <w:overflowPunct/>
        <w:topLinePunct w:val="0"/>
        <w:autoSpaceDE w:val="0"/>
        <w:autoSpaceDN w:val="0"/>
        <w:bidi w:val="0"/>
        <w:adjustRightInd w:val="0"/>
        <w:snapToGrid w:val="0"/>
        <w:spacing w:before="120" w:line="410" w:lineRule="auto"/>
        <w:ind w:left="-105" w:leftChars="-50" w:right="113" w:rightChars="0" w:firstLine="560"/>
        <w:jc w:val="left"/>
        <w:textAlignment w:val="baseline"/>
        <w:rPr>
          <w:spacing w:val="2"/>
          <w:lang w:eastAsia="zh-CN"/>
        </w:rPr>
      </w:pPr>
      <w:r>
        <w:rPr>
          <w:rFonts w:hint="eastAsia"/>
          <w:spacing w:val="2"/>
          <w:lang w:eastAsia="zh-CN"/>
        </w:rPr>
        <w:t>泌尿肿瘤外科作为复旦大学附属肿瘤医院福建医院国家肿瘤区域医疗中心建设中重点发展的科室之一，科室与复旦大学肿瘤医院泌尿外科深度融合，依托复旦肿瘤技术平台，紧跟国内外学科发展前沿，注重新技术新疗法的开展，力求为患者提供个体化精准治疗方案，造福于广大泌尿系统肿瘤患者。亚专科共设有病区</w:t>
      </w:r>
      <w:r>
        <w:rPr>
          <w:spacing w:val="2"/>
          <w:lang w:eastAsia="zh-CN"/>
        </w:rPr>
        <w:t>1</w:t>
      </w:r>
      <w:r>
        <w:rPr>
          <w:rFonts w:hint="eastAsia"/>
          <w:spacing w:val="2"/>
          <w:lang w:eastAsia="zh-CN"/>
        </w:rPr>
        <w:t>个，床位</w:t>
      </w:r>
      <w:r>
        <w:rPr>
          <w:spacing w:val="2"/>
          <w:lang w:eastAsia="zh-CN"/>
        </w:rPr>
        <w:t>13</w:t>
      </w:r>
      <w:r>
        <w:rPr>
          <w:rFonts w:hint="eastAsia"/>
          <w:spacing w:val="2"/>
          <w:lang w:eastAsia="zh-CN"/>
        </w:rPr>
        <w:t>张。共有编内与编外在职人员</w:t>
      </w:r>
      <w:r>
        <w:rPr>
          <w:spacing w:val="2"/>
          <w:lang w:eastAsia="zh-CN"/>
        </w:rPr>
        <w:t>30</w:t>
      </w:r>
      <w:r>
        <w:rPr>
          <w:rFonts w:hint="eastAsia"/>
          <w:spacing w:val="2"/>
          <w:lang w:eastAsia="zh-CN"/>
        </w:rPr>
        <w:t>人，其中，医师</w:t>
      </w:r>
      <w:r>
        <w:rPr>
          <w:spacing w:val="2"/>
          <w:lang w:eastAsia="zh-CN"/>
        </w:rPr>
        <w:t>7</w:t>
      </w:r>
      <w:r>
        <w:rPr>
          <w:rFonts w:hint="eastAsia"/>
          <w:spacing w:val="2"/>
          <w:lang w:eastAsia="zh-CN"/>
        </w:rPr>
        <w:t>人，护士</w:t>
      </w:r>
      <w:r>
        <w:rPr>
          <w:spacing w:val="2"/>
          <w:lang w:eastAsia="zh-CN"/>
        </w:rPr>
        <w:t>23</w:t>
      </w:r>
      <w:r>
        <w:rPr>
          <w:rFonts w:hint="eastAsia"/>
          <w:spacing w:val="2"/>
          <w:lang w:eastAsia="zh-CN"/>
        </w:rPr>
        <w:t>人，其他人员</w:t>
      </w:r>
      <w:r>
        <w:rPr>
          <w:spacing w:val="2"/>
          <w:lang w:eastAsia="zh-CN"/>
        </w:rPr>
        <w:t>1</w:t>
      </w:r>
      <w:r>
        <w:rPr>
          <w:rFonts w:hint="eastAsia"/>
          <w:spacing w:val="2"/>
          <w:lang w:eastAsia="zh-CN"/>
        </w:rPr>
        <w:t>人。按照学历分类，拥有博士3人，硕士</w:t>
      </w:r>
      <w:r>
        <w:rPr>
          <w:spacing w:val="2"/>
          <w:lang w:eastAsia="zh-CN"/>
        </w:rPr>
        <w:t>4</w:t>
      </w:r>
      <w:r>
        <w:rPr>
          <w:rFonts w:hint="eastAsia"/>
          <w:spacing w:val="2"/>
          <w:lang w:eastAsia="zh-CN"/>
        </w:rPr>
        <w:t>人、本科</w:t>
      </w:r>
      <w:r>
        <w:rPr>
          <w:spacing w:val="2"/>
          <w:lang w:eastAsia="zh-CN"/>
        </w:rPr>
        <w:t>14</w:t>
      </w:r>
      <w:r>
        <w:rPr>
          <w:rFonts w:hint="eastAsia"/>
          <w:spacing w:val="2"/>
          <w:lang w:eastAsia="zh-CN"/>
        </w:rPr>
        <w:t>人；按照职称分类，拥有正高级职称</w:t>
      </w:r>
      <w:r>
        <w:rPr>
          <w:spacing w:val="2"/>
          <w:lang w:eastAsia="zh-CN"/>
        </w:rPr>
        <w:t>0</w:t>
      </w:r>
      <w:r>
        <w:rPr>
          <w:rFonts w:hint="eastAsia"/>
          <w:spacing w:val="2"/>
          <w:lang w:eastAsia="zh-CN"/>
        </w:rPr>
        <w:t>人，副高级职称</w:t>
      </w:r>
      <w:r>
        <w:rPr>
          <w:spacing w:val="2"/>
          <w:lang w:eastAsia="zh-CN"/>
        </w:rPr>
        <w:t>3</w:t>
      </w:r>
      <w:r>
        <w:rPr>
          <w:rFonts w:hint="eastAsia"/>
          <w:spacing w:val="2"/>
          <w:lang w:eastAsia="zh-CN"/>
        </w:rPr>
        <w:t>人，中级职称</w:t>
      </w:r>
      <w:r>
        <w:rPr>
          <w:spacing w:val="2"/>
          <w:lang w:eastAsia="zh-CN"/>
        </w:rPr>
        <w:t>7</w:t>
      </w:r>
      <w:r>
        <w:rPr>
          <w:rFonts w:hint="eastAsia"/>
          <w:spacing w:val="2"/>
          <w:lang w:eastAsia="zh-CN"/>
        </w:rPr>
        <w:t>人，初级职称</w:t>
      </w:r>
      <w:r>
        <w:rPr>
          <w:spacing w:val="2"/>
          <w:lang w:eastAsia="zh-CN"/>
        </w:rPr>
        <w:t>20</w:t>
      </w:r>
      <w:r>
        <w:rPr>
          <w:rFonts w:hint="eastAsia"/>
          <w:spacing w:val="2"/>
          <w:lang w:eastAsia="zh-CN"/>
        </w:rPr>
        <w:t>人，其他人员</w:t>
      </w:r>
      <w:r>
        <w:rPr>
          <w:spacing w:val="2"/>
          <w:lang w:eastAsia="zh-CN"/>
        </w:rPr>
        <w:t>1</w:t>
      </w:r>
      <w:r>
        <w:rPr>
          <w:rFonts w:hint="eastAsia"/>
          <w:spacing w:val="2"/>
          <w:lang w:eastAsia="zh-CN"/>
        </w:rPr>
        <w:t>人。</w:t>
      </w:r>
      <w:r>
        <w:rPr>
          <w:spacing w:val="2"/>
          <w:lang w:eastAsia="zh-CN"/>
        </w:rPr>
        <w:t>2020-2022</w:t>
      </w:r>
      <w:r>
        <w:rPr>
          <w:rFonts w:hint="eastAsia"/>
          <w:spacing w:val="2"/>
          <w:lang w:eastAsia="zh-CN"/>
        </w:rPr>
        <w:t>年，引进培养博士</w:t>
      </w:r>
      <w:r>
        <w:rPr>
          <w:spacing w:val="2"/>
          <w:lang w:eastAsia="zh-CN"/>
        </w:rPr>
        <w:t>1</w:t>
      </w:r>
      <w:r>
        <w:rPr>
          <w:rFonts w:hint="eastAsia"/>
          <w:spacing w:val="2"/>
          <w:lang w:eastAsia="zh-CN"/>
        </w:rPr>
        <w:t>人。</w:t>
      </w:r>
    </w:p>
    <w:p>
      <w:pPr>
        <w:pStyle w:val="2"/>
        <w:keepNext w:val="0"/>
        <w:keepLines w:val="0"/>
        <w:pageBreakBefore w:val="0"/>
        <w:widowControl/>
        <w:kinsoku w:val="0"/>
        <w:wordWrap/>
        <w:overflowPunct/>
        <w:topLinePunct w:val="0"/>
        <w:autoSpaceDE w:val="0"/>
        <w:autoSpaceDN w:val="0"/>
        <w:bidi w:val="0"/>
        <w:adjustRightInd w:val="0"/>
        <w:snapToGrid w:val="0"/>
        <w:spacing w:before="120" w:line="410" w:lineRule="auto"/>
        <w:ind w:left="-105" w:leftChars="-50" w:right="113" w:rightChars="0" w:firstLine="560"/>
        <w:jc w:val="left"/>
        <w:textAlignment w:val="baseline"/>
        <w:rPr>
          <w:spacing w:val="2"/>
          <w:lang w:eastAsia="zh-CN"/>
        </w:rPr>
      </w:pPr>
      <w:r>
        <w:rPr>
          <w:spacing w:val="2"/>
          <w:lang w:eastAsia="zh-CN"/>
        </w:rPr>
        <w:t>2022</w:t>
      </w:r>
      <w:r>
        <w:rPr>
          <w:rFonts w:hint="eastAsia"/>
          <w:spacing w:val="2"/>
          <w:lang w:eastAsia="zh-CN"/>
        </w:rPr>
        <w:t>年共收治住院患者</w:t>
      </w:r>
      <w:r>
        <w:rPr>
          <w:spacing w:val="2"/>
          <w:lang w:eastAsia="zh-CN"/>
        </w:rPr>
        <w:t>507</w:t>
      </w:r>
      <w:r>
        <w:rPr>
          <w:rFonts w:hint="eastAsia"/>
          <w:spacing w:val="2"/>
          <w:lang w:eastAsia="zh-CN"/>
        </w:rPr>
        <w:t>人次；住院手术</w:t>
      </w:r>
      <w:r>
        <w:rPr>
          <w:spacing w:val="2"/>
          <w:lang w:eastAsia="zh-CN"/>
        </w:rPr>
        <w:t>217</w:t>
      </w:r>
      <w:r>
        <w:rPr>
          <w:rFonts w:hint="eastAsia"/>
          <w:spacing w:val="2"/>
          <w:lang w:eastAsia="zh-CN"/>
        </w:rPr>
        <w:t>台次，其中，微创手术</w:t>
      </w:r>
      <w:r>
        <w:rPr>
          <w:spacing w:val="2"/>
          <w:lang w:eastAsia="zh-CN"/>
        </w:rPr>
        <w:t>99</w:t>
      </w:r>
      <w:r>
        <w:rPr>
          <w:rFonts w:hint="eastAsia"/>
          <w:spacing w:val="2"/>
          <w:lang w:eastAsia="zh-CN"/>
        </w:rPr>
        <w:t>台次，开展三、四级手术</w:t>
      </w:r>
      <w:r>
        <w:rPr>
          <w:spacing w:val="2"/>
          <w:lang w:eastAsia="zh-CN"/>
        </w:rPr>
        <w:t>186</w:t>
      </w:r>
      <w:r>
        <w:rPr>
          <w:rFonts w:hint="eastAsia"/>
          <w:spacing w:val="2"/>
          <w:lang w:eastAsia="zh-CN"/>
        </w:rPr>
        <w:t>例，日间手术</w:t>
      </w:r>
      <w:r>
        <w:rPr>
          <w:spacing w:val="2"/>
          <w:lang w:eastAsia="zh-CN"/>
        </w:rPr>
        <w:t>13</w:t>
      </w:r>
      <w:r>
        <w:rPr>
          <w:rFonts w:hint="eastAsia"/>
          <w:spacing w:val="2"/>
          <w:lang w:eastAsia="zh-CN"/>
        </w:rPr>
        <w:t>例。其中收治人数前三位的病种为膀胱癌、前列腺癌、肾巨大肿瘤。常规开展达芬奇机器人辅助腹腔镜、经尿道腔镜、常规腹腔镜、单孔腹腔镜等各种复杂泌尿男生殖系肿瘤手术，包括肾上腺、肾、肾盂、输尿管、脐尿管、膀胱、前列腺、睾丸、阴茎及会阴肿瘤手术。力求针对患者特点，施行个体化精准手术，在保证完整控瘤的基础上，最大程度保护器官功能，提高术后生活质量。特色技术包括：机器人辅助腹腔镜下的各类高难度肾肿瘤保肾手术，通过精准阻断、精确切除、精细缝合的手术方法，最大限度保留肾功能；机器人辅助腹腔镜下的前列腺癌根治手术系列技术创新，通过精确的结构辨认、性功能保护、控尿功能保护、止血防渗、盆底重建，在最大化肿瘤根治的同时，保证患者的功能恢复和术后安全；磁共振超声融合靶向前列腺穿刺活检技术，提高了术中定位前列腺病灶能力，实现了前列腺穿刺的精准性；针对膀胱</w:t>
      </w:r>
    </w:p>
    <w:p>
      <w:pPr>
        <w:pStyle w:val="2"/>
        <w:keepNext w:val="0"/>
        <w:keepLines w:val="0"/>
        <w:pageBreakBefore w:val="0"/>
        <w:widowControl/>
        <w:kinsoku w:val="0"/>
        <w:wordWrap/>
        <w:overflowPunct/>
        <w:topLinePunct w:val="0"/>
        <w:autoSpaceDE w:val="0"/>
        <w:autoSpaceDN w:val="0"/>
        <w:bidi w:val="0"/>
        <w:adjustRightInd w:val="0"/>
        <w:snapToGrid w:val="0"/>
        <w:spacing w:before="120" w:line="410" w:lineRule="auto"/>
        <w:ind w:left="-105" w:leftChars="-50" w:right="113"/>
        <w:jc w:val="left"/>
        <w:textAlignment w:val="baseline"/>
        <w:rPr>
          <w:spacing w:val="2"/>
          <w:lang w:eastAsia="zh-CN"/>
        </w:rPr>
      </w:pPr>
      <w:r>
        <w:rPr>
          <w:rFonts w:hint="eastAsia"/>
          <w:spacing w:val="2"/>
          <w:lang w:eastAsia="zh-CN"/>
        </w:rPr>
        <w:t>癌患者膀胱切除术后生活质量下降的问题，团队娴熟应用经尿道膀胱肿瘤高精准射频消融术，开展双输入袢原位回肠新膀胱术解决全膀胱切除后的排尿问题，多学科诊疗制定保膀胱综合治疗策略，提高膀胱癌患者治疗效果。</w:t>
      </w:r>
    </w:p>
    <w:p>
      <w:pPr>
        <w:pStyle w:val="2"/>
        <w:keepNext w:val="0"/>
        <w:keepLines w:val="0"/>
        <w:pageBreakBefore w:val="0"/>
        <w:widowControl/>
        <w:kinsoku w:val="0"/>
        <w:wordWrap/>
        <w:overflowPunct/>
        <w:topLinePunct w:val="0"/>
        <w:autoSpaceDE w:val="0"/>
        <w:autoSpaceDN w:val="0"/>
        <w:bidi w:val="0"/>
        <w:adjustRightInd w:val="0"/>
        <w:snapToGrid w:val="0"/>
        <w:spacing w:before="120" w:line="410" w:lineRule="auto"/>
        <w:ind w:left="-105" w:leftChars="-50" w:right="113" w:firstLine="560"/>
        <w:jc w:val="left"/>
        <w:textAlignment w:val="baseline"/>
        <w:rPr>
          <w:rFonts w:hint="eastAsia"/>
          <w:spacing w:val="2"/>
          <w:lang w:eastAsia="zh-CN"/>
        </w:rPr>
      </w:pPr>
      <w:r>
        <w:rPr>
          <w:rFonts w:hint="eastAsia"/>
          <w:spacing w:val="2"/>
          <w:lang w:eastAsia="zh-CN"/>
        </w:rPr>
        <w:t>亚专科现有专业型硕导</w:t>
      </w:r>
      <w:r>
        <w:rPr>
          <w:spacing w:val="2"/>
          <w:lang w:eastAsia="zh-CN"/>
        </w:rPr>
        <w:t>1</w:t>
      </w:r>
      <w:r>
        <w:rPr>
          <w:rFonts w:hint="eastAsia"/>
          <w:spacing w:val="2"/>
          <w:lang w:eastAsia="zh-CN"/>
        </w:rPr>
        <w:t>人。主持省部级及以上肿瘤相关科研项目1项，肿瘤相关项目科研经费到位金额</w:t>
      </w:r>
      <w:r>
        <w:rPr>
          <w:spacing w:val="2"/>
          <w:lang w:eastAsia="zh-CN"/>
        </w:rPr>
        <w:t>45</w:t>
      </w:r>
      <w:r>
        <w:rPr>
          <w:rFonts w:hint="eastAsia"/>
          <w:spacing w:val="2"/>
          <w:lang w:eastAsia="zh-CN"/>
        </w:rPr>
        <w:t>万，</w:t>
      </w:r>
      <w:r>
        <w:rPr>
          <w:spacing w:val="2"/>
          <w:lang w:eastAsia="zh-CN"/>
        </w:rPr>
        <w:t>2022</w:t>
      </w:r>
      <w:r>
        <w:rPr>
          <w:rFonts w:hint="eastAsia"/>
          <w:spacing w:val="2"/>
          <w:lang w:eastAsia="zh-CN"/>
        </w:rPr>
        <w:t>年，举办（协办）学术交流会议</w:t>
      </w:r>
      <w:r>
        <w:rPr>
          <w:spacing w:val="2"/>
          <w:lang w:eastAsia="zh-CN"/>
        </w:rPr>
        <w:t>2</w:t>
      </w:r>
      <w:r>
        <w:rPr>
          <w:rFonts w:hint="eastAsia"/>
          <w:spacing w:val="2"/>
          <w:lang w:eastAsia="zh-CN"/>
        </w:rPr>
        <w:t>场次，参加全国性会议</w:t>
      </w:r>
      <w:r>
        <w:rPr>
          <w:spacing w:val="2"/>
          <w:lang w:eastAsia="zh-CN"/>
        </w:rPr>
        <w:t>10</w:t>
      </w:r>
      <w:r>
        <w:rPr>
          <w:rFonts w:hint="eastAsia"/>
          <w:spacing w:val="2"/>
          <w:lang w:eastAsia="zh-CN"/>
        </w:rPr>
        <w:t>余场次，担任全国性学会协会学术委员会常委及以上</w:t>
      </w:r>
      <w:r>
        <w:rPr>
          <w:spacing w:val="2"/>
          <w:lang w:eastAsia="zh-CN"/>
        </w:rPr>
        <w:t>2</w:t>
      </w:r>
      <w:r>
        <w:rPr>
          <w:rFonts w:hint="eastAsia"/>
          <w:spacing w:val="2"/>
          <w:lang w:eastAsia="zh-CN"/>
        </w:rPr>
        <w:t>人。开展各类癌症相关临床试验。科室与复旦大学肿瘤医院泌尿外科深度融合，依托复旦肿瘤技术平台，紧跟国内外学科发展前沿，注重新技术新疗法的开展，利用肿瘤专科医院多学科优势，联合复旦大学附属肿瘤医院多学科诊疗团队，开展业务培训，不定期派医师到医联体单位协助开展和推广适宜的新技术，开展远程会诊、查房、病例讨论等医疗服务，建立疑难重症会诊及双向转诊。</w:t>
      </w:r>
    </w:p>
    <w:p>
      <w:pPr>
        <w:keepNext w:val="0"/>
        <w:keepLines w:val="0"/>
        <w:pageBreakBefore w:val="0"/>
        <w:widowControl/>
        <w:kinsoku w:val="0"/>
        <w:wordWrap/>
        <w:overflowPunct/>
        <w:topLinePunct w:val="0"/>
        <w:autoSpaceDE w:val="0"/>
        <w:autoSpaceDN w:val="0"/>
        <w:bidi w:val="0"/>
        <w:adjustRightInd w:val="0"/>
        <w:snapToGrid w:val="0"/>
        <w:spacing w:before="120" w:line="287" w:lineRule="auto"/>
        <w:ind w:left="-105" w:leftChars="-50" w:right="113"/>
        <w:jc w:val="left"/>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before="120" w:line="222" w:lineRule="auto"/>
        <w:ind w:left="-105" w:leftChars="-50" w:right="113" w:firstLine="562" w:firstLineChars="200"/>
        <w:jc w:val="left"/>
        <w:textAlignment w:val="baseline"/>
        <w:rPr>
          <w:rFonts w:ascii="黑体" w:hAnsi="黑体" w:eastAsia="黑体" w:cs="黑体"/>
          <w:sz w:val="30"/>
          <w:szCs w:val="30"/>
        </w:rPr>
      </w:pPr>
      <w:bookmarkStart w:id="1" w:name="bookmark2"/>
      <w:bookmarkEnd w:id="1"/>
      <w:r>
        <w:rPr>
          <w:rFonts w:ascii="黑体" w:hAnsi="黑体" w:eastAsia="黑体" w:cs="黑体"/>
          <w:b/>
          <w:bCs/>
          <w:spacing w:val="-10"/>
          <w:sz w:val="30"/>
          <w:szCs w:val="30"/>
        </w:rPr>
        <w:t>科室带教老师简介：</w:t>
      </w:r>
    </w:p>
    <w:p>
      <w:pPr>
        <w:keepNext w:val="0"/>
        <w:keepLines w:val="0"/>
        <w:pageBreakBefore w:val="0"/>
        <w:widowControl/>
        <w:kinsoku w:val="0"/>
        <w:wordWrap/>
        <w:overflowPunct/>
        <w:topLinePunct w:val="0"/>
        <w:autoSpaceDE w:val="0"/>
        <w:autoSpaceDN w:val="0"/>
        <w:bidi w:val="0"/>
        <w:adjustRightInd w:val="0"/>
        <w:snapToGrid w:val="0"/>
        <w:spacing w:before="120" w:line="118" w:lineRule="exact"/>
        <w:ind w:left="-105" w:leftChars="-50" w:right="113"/>
        <w:jc w:val="left"/>
        <w:textAlignment w:val="baseline"/>
      </w:pPr>
    </w:p>
    <w:tbl>
      <w:tblPr>
        <w:tblStyle w:val="8"/>
        <w:tblW w:w="8759" w:type="dxa"/>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
        <w:gridCol w:w="1710"/>
        <w:gridCol w:w="1486"/>
        <w:gridCol w:w="814"/>
        <w:gridCol w:w="1152"/>
        <w:gridCol w:w="3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09" w:type="dxa"/>
            <w:vMerge w:val="restart"/>
            <w:tcBorders>
              <w:bottom w:val="nil"/>
            </w:tcBorders>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r>
              <w:rPr>
                <w:spacing w:val="-2"/>
              </w:rPr>
              <w:t>序号</w:t>
            </w:r>
          </w:p>
        </w:tc>
        <w:tc>
          <w:tcPr>
            <w:tcW w:w="1710" w:type="dxa"/>
            <w:vMerge w:val="restart"/>
            <w:tcBorders>
              <w:bottom w:val="nil"/>
            </w:tcBorders>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r>
              <w:rPr>
                <w:b/>
                <w:bCs/>
                <w:spacing w:val="7"/>
              </w:rPr>
              <w:t>姓名</w:t>
            </w:r>
          </w:p>
        </w:tc>
        <w:tc>
          <w:tcPr>
            <w:tcW w:w="1486" w:type="dxa"/>
            <w:vMerge w:val="restart"/>
            <w:tcBorders>
              <w:bottom w:val="nil"/>
            </w:tcBorders>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r>
              <w:rPr>
                <w:spacing w:val="-3"/>
              </w:rPr>
              <w:t>职称</w:t>
            </w:r>
          </w:p>
        </w:tc>
        <w:tc>
          <w:tcPr>
            <w:tcW w:w="814" w:type="dxa"/>
            <w:vMerge w:val="restart"/>
            <w:tcBorders>
              <w:bottom w:val="nil"/>
            </w:tcBorders>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r>
              <w:rPr>
                <w:spacing w:val="-3"/>
              </w:rPr>
              <w:t>学位</w:t>
            </w:r>
          </w:p>
        </w:tc>
        <w:tc>
          <w:tcPr>
            <w:tcW w:w="1152" w:type="dxa"/>
            <w:vMerge w:val="restart"/>
            <w:tcBorders>
              <w:bottom w:val="nil"/>
            </w:tcBorders>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r>
              <w:rPr>
                <w:spacing w:val="6"/>
              </w:rPr>
              <w:t>学历</w:t>
            </w:r>
          </w:p>
        </w:tc>
        <w:tc>
          <w:tcPr>
            <w:tcW w:w="3088" w:type="dxa"/>
            <w:vMerge w:val="restart"/>
            <w:tcBorders>
              <w:bottom w:val="nil"/>
            </w:tcBorders>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r>
              <w:rPr>
                <w:b/>
                <w:bCs/>
                <w:spacing w:val="-5"/>
              </w:rPr>
              <w:t>专长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09"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tc>
        <w:tc>
          <w:tcPr>
            <w:tcW w:w="1710"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tc>
        <w:tc>
          <w:tcPr>
            <w:tcW w:w="1486"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tc>
        <w:tc>
          <w:tcPr>
            <w:tcW w:w="814"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tc>
        <w:tc>
          <w:tcPr>
            <w:tcW w:w="1152"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tc>
        <w:tc>
          <w:tcPr>
            <w:tcW w:w="3088"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509"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lang w:eastAsia="zh-CN"/>
              </w:rPr>
            </w:pPr>
          </w:p>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lang w:eastAsia="zh-CN"/>
              </w:rPr>
            </w:pPr>
            <w:r>
              <w:rPr>
                <w:rFonts w:hint="eastAsia"/>
                <w:lang w:eastAsia="zh-CN"/>
              </w:rPr>
              <w:t>1</w:t>
            </w:r>
          </w:p>
        </w:tc>
        <w:tc>
          <w:tcPr>
            <w:tcW w:w="1710" w:type="dxa"/>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lang w:eastAsia="zh-CN"/>
              </w:rPr>
            </w:pPr>
            <w:r>
              <w:rPr>
                <w:rFonts w:hint="eastAsia"/>
                <w:spacing w:val="-2"/>
                <w:lang w:eastAsia="zh-CN"/>
              </w:rPr>
              <w:t>陈书尚</w:t>
            </w:r>
          </w:p>
        </w:tc>
        <w:tc>
          <w:tcPr>
            <w:tcW w:w="1486" w:type="dxa"/>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r>
              <w:rPr>
                <w:rFonts w:hint="eastAsia"/>
                <w:spacing w:val="2"/>
                <w:lang w:eastAsia="zh-CN"/>
              </w:rPr>
              <w:t>副</w:t>
            </w:r>
            <w:r>
              <w:rPr>
                <w:spacing w:val="2"/>
              </w:rPr>
              <w:t>主任医师</w:t>
            </w:r>
          </w:p>
        </w:tc>
        <w:tc>
          <w:tcPr>
            <w:tcW w:w="814" w:type="dxa"/>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lang w:eastAsia="zh-CN"/>
              </w:rPr>
            </w:pPr>
            <w:r>
              <w:rPr>
                <w:rFonts w:hint="eastAsia"/>
                <w:spacing w:val="-3"/>
                <w:lang w:eastAsia="zh-CN"/>
              </w:rPr>
              <w:t>博士</w:t>
            </w: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lang w:eastAsia="zh-CN"/>
              </w:rPr>
            </w:pPr>
            <w:r>
              <w:rPr>
                <w:rFonts w:hint="eastAsia"/>
                <w:spacing w:val="-3"/>
                <w:lang w:eastAsia="zh-CN"/>
              </w:rPr>
              <w:t>博士</w:t>
            </w:r>
          </w:p>
        </w:tc>
        <w:tc>
          <w:tcPr>
            <w:tcW w:w="3088"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lang w:eastAsia="zh-CN"/>
              </w:rPr>
            </w:pPr>
            <w:r>
              <w:rPr>
                <w:color w:val="333333"/>
                <w:sz w:val="19"/>
                <w:szCs w:val="19"/>
                <w:lang w:eastAsia="zh-CN"/>
              </w:rPr>
              <w:t>擅长于</w:t>
            </w:r>
            <w:r>
              <w:rPr>
                <w:rFonts w:hint="eastAsia"/>
                <w:lang w:eastAsia="zh-CN"/>
              </w:rPr>
              <w:t>泌尿男生殖系统肿瘤的微创外科治疗和全身综合治疗。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509"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lang w:eastAsia="zh-CN"/>
              </w:rPr>
            </w:pPr>
          </w:p>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r>
              <w:t>2</w:t>
            </w:r>
          </w:p>
        </w:tc>
        <w:tc>
          <w:tcPr>
            <w:tcW w:w="1710" w:type="dxa"/>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lang w:eastAsia="zh-CN"/>
              </w:rPr>
            </w:pPr>
            <w:r>
              <w:rPr>
                <w:rFonts w:hint="eastAsia"/>
                <w:lang w:eastAsia="zh-CN"/>
              </w:rPr>
              <w:t>居正华</w:t>
            </w:r>
          </w:p>
        </w:tc>
        <w:tc>
          <w:tcPr>
            <w:tcW w:w="1486" w:type="dxa"/>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r>
              <w:rPr>
                <w:rFonts w:hint="eastAsia"/>
                <w:spacing w:val="2"/>
                <w:lang w:eastAsia="zh-CN"/>
              </w:rPr>
              <w:t>副</w:t>
            </w:r>
            <w:r>
              <w:rPr>
                <w:spacing w:val="2"/>
              </w:rPr>
              <w:t>主任医师</w:t>
            </w:r>
          </w:p>
        </w:tc>
        <w:tc>
          <w:tcPr>
            <w:tcW w:w="814" w:type="dxa"/>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r>
              <w:rPr>
                <w:rFonts w:hint="eastAsia"/>
                <w:spacing w:val="-3"/>
                <w:lang w:eastAsia="zh-CN"/>
              </w:rPr>
              <w:t>博士</w:t>
            </w: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p>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pPr>
            <w:r>
              <w:rPr>
                <w:rFonts w:hint="eastAsia"/>
                <w:spacing w:val="-3"/>
                <w:lang w:eastAsia="zh-CN"/>
              </w:rPr>
              <w:t>博士</w:t>
            </w:r>
          </w:p>
        </w:tc>
        <w:tc>
          <w:tcPr>
            <w:tcW w:w="3088"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lang w:eastAsia="zh-CN"/>
              </w:rPr>
            </w:pPr>
            <w:r>
              <w:rPr>
                <w:color w:val="333333"/>
                <w:sz w:val="19"/>
                <w:szCs w:val="19"/>
                <w:lang w:eastAsia="zh-CN"/>
              </w:rPr>
              <w:t>擅长于</w:t>
            </w:r>
            <w:r>
              <w:rPr>
                <w:rFonts w:hint="eastAsia"/>
                <w:lang w:eastAsia="zh-CN"/>
              </w:rPr>
              <w:t>泌尿男生殖系统肿瘤的微创外科治疗和全身综合治疗。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509"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eastAsia" w:eastAsia="宋体"/>
                <w:lang w:val="en-US" w:eastAsia="zh-CN"/>
              </w:rPr>
            </w:pPr>
            <w:r>
              <w:rPr>
                <w:rFonts w:hint="eastAsia"/>
                <w:lang w:val="en-US" w:eastAsia="zh-CN"/>
              </w:rPr>
              <w:t>3</w:t>
            </w:r>
          </w:p>
        </w:tc>
        <w:tc>
          <w:tcPr>
            <w:tcW w:w="1710"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0" w:leftChars="0" w:right="113" w:firstLine="0" w:firstLineChars="0"/>
              <w:jc w:val="center"/>
              <w:textAlignment w:val="baseline"/>
              <w:rPr>
                <w:rFonts w:hint="default"/>
                <w:lang w:val="en-US" w:eastAsia="zh-CN"/>
              </w:rPr>
            </w:pPr>
            <w:r>
              <w:rPr>
                <w:rFonts w:hint="eastAsia"/>
                <w:lang w:val="en-US" w:eastAsia="zh-CN"/>
              </w:rPr>
              <w:t>戴波（复旦肿瘤）</w:t>
            </w:r>
          </w:p>
        </w:tc>
        <w:tc>
          <w:tcPr>
            <w:tcW w:w="1486"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default"/>
                <w:spacing w:val="2"/>
                <w:lang w:val="en-US" w:eastAsia="zh-CN"/>
              </w:rPr>
            </w:pPr>
            <w:r>
              <w:rPr>
                <w:rFonts w:hint="eastAsia"/>
                <w:spacing w:val="2"/>
                <w:lang w:val="en-US" w:eastAsia="zh-CN"/>
              </w:rPr>
              <w:t>主任医师</w:t>
            </w:r>
          </w:p>
        </w:tc>
        <w:tc>
          <w:tcPr>
            <w:tcW w:w="814"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default"/>
                <w:spacing w:val="-3"/>
                <w:lang w:val="en-US" w:eastAsia="zh-CN"/>
              </w:rPr>
            </w:pPr>
            <w:r>
              <w:rPr>
                <w:rFonts w:hint="eastAsia"/>
                <w:spacing w:val="-3"/>
                <w:lang w:val="en-US" w:eastAsia="zh-CN"/>
              </w:rPr>
              <w:t>博士</w:t>
            </w:r>
          </w:p>
        </w:tc>
        <w:tc>
          <w:tcPr>
            <w:tcW w:w="1152"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default"/>
                <w:spacing w:val="-3"/>
                <w:lang w:val="en-US" w:eastAsia="zh-CN"/>
              </w:rPr>
            </w:pPr>
            <w:r>
              <w:rPr>
                <w:rFonts w:hint="eastAsia"/>
                <w:spacing w:val="-3"/>
                <w:lang w:val="en-US" w:eastAsia="zh-CN"/>
              </w:rPr>
              <w:t>博士</w:t>
            </w:r>
          </w:p>
        </w:tc>
        <w:tc>
          <w:tcPr>
            <w:tcW w:w="3088"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color w:val="333333"/>
                <w:sz w:val="19"/>
                <w:szCs w:val="19"/>
                <w:lang w:eastAsia="zh-CN"/>
              </w:rPr>
            </w:pPr>
            <w:r>
              <w:rPr>
                <w:color w:val="333333"/>
                <w:sz w:val="19"/>
                <w:szCs w:val="19"/>
                <w:lang w:eastAsia="zh-CN"/>
              </w:rPr>
              <w:t>擅长于</w:t>
            </w:r>
            <w:r>
              <w:rPr>
                <w:rFonts w:hint="eastAsia"/>
                <w:lang w:eastAsia="zh-CN"/>
              </w:rPr>
              <w:t>泌尿男生殖系统肿瘤的微创外科治疗和全身综合治疗。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509"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default"/>
                <w:lang w:val="en-US" w:eastAsia="zh-CN"/>
              </w:rPr>
            </w:pPr>
            <w:r>
              <w:rPr>
                <w:rFonts w:hint="eastAsia"/>
                <w:lang w:val="en-US" w:eastAsia="zh-CN"/>
              </w:rPr>
              <w:t>4</w:t>
            </w:r>
          </w:p>
        </w:tc>
        <w:tc>
          <w:tcPr>
            <w:tcW w:w="1710"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0" w:leftChars="0" w:right="113" w:firstLine="0" w:firstLineChars="0"/>
              <w:jc w:val="center"/>
              <w:textAlignment w:val="baseline"/>
              <w:rPr>
                <w:rFonts w:hint="default"/>
                <w:lang w:val="en-US" w:eastAsia="zh-CN"/>
              </w:rPr>
            </w:pPr>
            <w:r>
              <w:rPr>
                <w:rFonts w:hint="eastAsia"/>
                <w:lang w:val="en-US" w:eastAsia="zh-CN"/>
              </w:rPr>
              <w:t>张海梁（复旦肿瘤）</w:t>
            </w:r>
          </w:p>
        </w:tc>
        <w:tc>
          <w:tcPr>
            <w:tcW w:w="1486"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default"/>
                <w:spacing w:val="2"/>
                <w:lang w:val="en-US" w:eastAsia="zh-CN"/>
              </w:rPr>
            </w:pPr>
            <w:r>
              <w:rPr>
                <w:rFonts w:hint="eastAsia"/>
                <w:spacing w:val="2"/>
                <w:lang w:val="en-US" w:eastAsia="zh-CN"/>
              </w:rPr>
              <w:t>主任医师</w:t>
            </w:r>
          </w:p>
        </w:tc>
        <w:tc>
          <w:tcPr>
            <w:tcW w:w="814"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default"/>
                <w:spacing w:val="-3"/>
                <w:lang w:val="en-US" w:eastAsia="zh-CN"/>
              </w:rPr>
            </w:pPr>
            <w:r>
              <w:rPr>
                <w:rFonts w:hint="eastAsia"/>
                <w:spacing w:val="-3"/>
                <w:lang w:val="en-US" w:eastAsia="zh-CN"/>
              </w:rPr>
              <w:t>博士</w:t>
            </w:r>
          </w:p>
        </w:tc>
        <w:tc>
          <w:tcPr>
            <w:tcW w:w="1152"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default"/>
                <w:spacing w:val="-3"/>
                <w:lang w:val="en-US" w:eastAsia="zh-CN"/>
              </w:rPr>
            </w:pPr>
            <w:r>
              <w:rPr>
                <w:rFonts w:hint="eastAsia"/>
                <w:spacing w:val="-3"/>
                <w:lang w:val="en-US" w:eastAsia="zh-CN"/>
              </w:rPr>
              <w:t>博士</w:t>
            </w:r>
          </w:p>
        </w:tc>
        <w:tc>
          <w:tcPr>
            <w:tcW w:w="3088"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color w:val="333333"/>
                <w:sz w:val="19"/>
                <w:szCs w:val="19"/>
                <w:lang w:eastAsia="zh-CN"/>
              </w:rPr>
            </w:pPr>
            <w:r>
              <w:rPr>
                <w:color w:val="333333"/>
                <w:sz w:val="19"/>
                <w:szCs w:val="19"/>
                <w:lang w:eastAsia="zh-CN"/>
              </w:rPr>
              <w:t>擅长于</w:t>
            </w:r>
            <w:r>
              <w:rPr>
                <w:rFonts w:hint="eastAsia"/>
                <w:lang w:eastAsia="zh-CN"/>
              </w:rPr>
              <w:t>泌尿男生殖系统肿瘤的微创外科治疗和全身综合治疗。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509"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default"/>
                <w:lang w:val="en-US" w:eastAsia="zh-CN"/>
              </w:rPr>
            </w:pPr>
            <w:r>
              <w:rPr>
                <w:rFonts w:hint="eastAsia"/>
                <w:lang w:val="en-US" w:eastAsia="zh-CN"/>
              </w:rPr>
              <w:t>5</w:t>
            </w:r>
          </w:p>
        </w:tc>
        <w:tc>
          <w:tcPr>
            <w:tcW w:w="1710"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220" w:leftChars="57" w:right="113" w:hanging="100" w:hangingChars="50"/>
              <w:jc w:val="center"/>
              <w:textAlignment w:val="baseline"/>
              <w:rPr>
                <w:rFonts w:hint="default"/>
                <w:lang w:val="en-US" w:eastAsia="zh-CN"/>
              </w:rPr>
            </w:pPr>
            <w:r>
              <w:rPr>
                <w:rFonts w:hint="eastAsia"/>
                <w:lang w:val="en-US" w:eastAsia="zh-CN"/>
              </w:rPr>
              <w:t>马春光（复旦肿瘤）</w:t>
            </w:r>
          </w:p>
        </w:tc>
        <w:tc>
          <w:tcPr>
            <w:tcW w:w="1486"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default"/>
                <w:spacing w:val="2"/>
                <w:lang w:val="en-US" w:eastAsia="zh-CN"/>
              </w:rPr>
            </w:pPr>
            <w:r>
              <w:rPr>
                <w:rFonts w:hint="eastAsia"/>
                <w:spacing w:val="2"/>
                <w:lang w:val="en-US" w:eastAsia="zh-CN"/>
              </w:rPr>
              <w:t>副主任医师</w:t>
            </w:r>
          </w:p>
        </w:tc>
        <w:tc>
          <w:tcPr>
            <w:tcW w:w="814"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default"/>
                <w:spacing w:val="-3"/>
                <w:lang w:val="en-US" w:eastAsia="zh-CN"/>
              </w:rPr>
            </w:pPr>
            <w:r>
              <w:rPr>
                <w:rFonts w:hint="eastAsia"/>
                <w:spacing w:val="-3"/>
                <w:lang w:val="en-US" w:eastAsia="zh-CN"/>
              </w:rPr>
              <w:t>博士</w:t>
            </w:r>
          </w:p>
        </w:tc>
        <w:tc>
          <w:tcPr>
            <w:tcW w:w="1152"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rFonts w:hint="default"/>
                <w:spacing w:val="-3"/>
                <w:lang w:val="en-US" w:eastAsia="zh-CN"/>
              </w:rPr>
            </w:pPr>
            <w:r>
              <w:rPr>
                <w:rFonts w:hint="eastAsia"/>
                <w:spacing w:val="-3"/>
                <w:lang w:val="en-US" w:eastAsia="zh-CN"/>
              </w:rPr>
              <w:t>博士</w:t>
            </w:r>
          </w:p>
        </w:tc>
        <w:tc>
          <w:tcPr>
            <w:tcW w:w="3088" w:type="dxa"/>
          </w:tcPr>
          <w:p>
            <w:pPr>
              <w:pStyle w:val="9"/>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center"/>
              <w:textAlignment w:val="baseline"/>
              <w:rPr>
                <w:color w:val="333333"/>
                <w:sz w:val="19"/>
                <w:szCs w:val="19"/>
                <w:lang w:eastAsia="zh-CN"/>
              </w:rPr>
            </w:pPr>
            <w:r>
              <w:rPr>
                <w:color w:val="333333"/>
                <w:sz w:val="19"/>
                <w:szCs w:val="19"/>
                <w:lang w:eastAsia="zh-CN"/>
              </w:rPr>
              <w:t>擅长于</w:t>
            </w:r>
            <w:r>
              <w:rPr>
                <w:rFonts w:hint="eastAsia"/>
                <w:lang w:eastAsia="zh-CN"/>
              </w:rPr>
              <w:t>泌尿男生殖系统肿瘤的微创外科治疗和全身综合治疗。</w:t>
            </w:r>
          </w:p>
        </w:tc>
      </w:tr>
    </w:tbl>
    <w:p>
      <w:pPr>
        <w:keepNext w:val="0"/>
        <w:keepLines w:val="0"/>
        <w:pageBreakBefore w:val="0"/>
        <w:widowControl/>
        <w:kinsoku w:val="0"/>
        <w:wordWrap/>
        <w:overflowPunct/>
        <w:topLinePunct w:val="0"/>
        <w:autoSpaceDE w:val="0"/>
        <w:autoSpaceDN w:val="0"/>
        <w:bidi w:val="0"/>
        <w:adjustRightInd w:val="0"/>
        <w:snapToGrid w:val="0"/>
        <w:spacing w:before="120" w:line="249" w:lineRule="auto"/>
        <w:ind w:left="-105" w:leftChars="-50" w:right="113"/>
        <w:jc w:val="left"/>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before="120" w:line="249" w:lineRule="auto"/>
        <w:ind w:left="-105" w:leftChars="-50" w:right="113"/>
        <w:jc w:val="left"/>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before="120" w:line="222" w:lineRule="auto"/>
        <w:ind w:left="-105" w:leftChars="-50" w:right="113"/>
        <w:jc w:val="left"/>
        <w:textAlignment w:val="baseline"/>
        <w:rPr>
          <w:rFonts w:hint="eastAsia" w:ascii="黑体" w:hAnsi="黑体" w:eastAsia="黑体" w:cs="黑体"/>
          <w:b/>
          <w:bCs/>
          <w:spacing w:val="-11"/>
          <w:sz w:val="30"/>
          <w:szCs w:val="30"/>
          <w:lang w:eastAsia="zh-CN"/>
        </w:rPr>
      </w:pPr>
      <w:bookmarkStart w:id="2" w:name="bookmark4"/>
      <w:bookmarkEnd w:id="2"/>
      <w:bookmarkStart w:id="3" w:name="bookmark3"/>
      <w:bookmarkEnd w:id="3"/>
    </w:p>
    <w:p>
      <w:pPr>
        <w:keepNext w:val="0"/>
        <w:keepLines w:val="0"/>
        <w:pageBreakBefore w:val="0"/>
        <w:widowControl/>
        <w:kinsoku w:val="0"/>
        <w:wordWrap/>
        <w:overflowPunct/>
        <w:topLinePunct w:val="0"/>
        <w:autoSpaceDE w:val="0"/>
        <w:autoSpaceDN w:val="0"/>
        <w:bidi w:val="0"/>
        <w:adjustRightInd w:val="0"/>
        <w:snapToGrid w:val="0"/>
        <w:spacing w:before="120" w:line="222" w:lineRule="auto"/>
        <w:ind w:left="-105" w:leftChars="-50" w:right="113"/>
        <w:jc w:val="left"/>
        <w:textAlignment w:val="baseline"/>
        <w:rPr>
          <w:rFonts w:ascii="黑体" w:hAnsi="黑体" w:eastAsia="黑体" w:cs="黑体"/>
          <w:b/>
          <w:bCs/>
          <w:spacing w:val="-11"/>
          <w:sz w:val="30"/>
          <w:szCs w:val="30"/>
          <w:lang w:eastAsia="zh-CN"/>
        </w:rPr>
      </w:pPr>
    </w:p>
    <w:p>
      <w:pPr>
        <w:keepNext w:val="0"/>
        <w:keepLines w:val="0"/>
        <w:pageBreakBefore w:val="0"/>
        <w:widowControl/>
        <w:kinsoku w:val="0"/>
        <w:wordWrap/>
        <w:overflowPunct/>
        <w:topLinePunct w:val="0"/>
        <w:autoSpaceDE w:val="0"/>
        <w:autoSpaceDN w:val="0"/>
        <w:bidi w:val="0"/>
        <w:adjustRightInd w:val="0"/>
        <w:snapToGrid w:val="0"/>
        <w:spacing w:before="120" w:line="222" w:lineRule="auto"/>
        <w:ind w:left="-105" w:leftChars="-50" w:right="113"/>
        <w:jc w:val="left"/>
        <w:textAlignment w:val="baseline"/>
        <w:rPr>
          <w:rFonts w:ascii="黑体" w:hAnsi="黑体" w:eastAsia="黑体" w:cs="黑体"/>
          <w:sz w:val="30"/>
          <w:szCs w:val="30"/>
          <w:lang w:eastAsia="zh-CN"/>
        </w:rPr>
      </w:pPr>
      <w:r>
        <w:rPr>
          <w:rFonts w:ascii="黑体" w:hAnsi="黑体" w:eastAsia="黑体" w:cs="黑体"/>
          <w:b/>
          <w:bCs/>
          <w:spacing w:val="-11"/>
          <w:sz w:val="30"/>
          <w:szCs w:val="30"/>
          <w:lang w:eastAsia="zh-CN"/>
        </w:rPr>
        <w:t>进修生招收要求：</w:t>
      </w: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lang w:eastAsia="zh-CN"/>
        </w:rPr>
      </w:pPr>
      <w:r>
        <w:rPr>
          <w:spacing w:val="3"/>
          <w:lang w:eastAsia="zh-CN"/>
        </w:rPr>
        <w:t>招收时间：20</w:t>
      </w:r>
      <w:r>
        <w:rPr>
          <w:rFonts w:hint="eastAsia"/>
          <w:spacing w:val="3"/>
          <w:lang w:eastAsia="zh-CN"/>
        </w:rPr>
        <w:t>24</w:t>
      </w:r>
      <w:r>
        <w:rPr>
          <w:spacing w:val="3"/>
          <w:lang w:eastAsia="zh-CN"/>
        </w:rPr>
        <w:t>年</w:t>
      </w:r>
    </w:p>
    <w:p>
      <w:pPr>
        <w:pStyle w:val="2"/>
        <w:keepNext w:val="0"/>
        <w:keepLines w:val="0"/>
        <w:pageBreakBefore w:val="0"/>
        <w:widowControl/>
        <w:kinsoku w:val="0"/>
        <w:wordWrap/>
        <w:overflowPunct/>
        <w:topLinePunct w:val="0"/>
        <w:autoSpaceDE w:val="0"/>
        <w:autoSpaceDN w:val="0"/>
        <w:bidi w:val="0"/>
        <w:adjustRightInd w:val="0"/>
        <w:snapToGrid w:val="0"/>
        <w:spacing w:before="120" w:line="383" w:lineRule="auto"/>
        <w:ind w:left="-105" w:leftChars="-50" w:right="113" w:firstLine="560"/>
        <w:jc w:val="left"/>
        <w:textAlignment w:val="baseline"/>
        <w:rPr>
          <w:lang w:eastAsia="zh-CN"/>
        </w:rPr>
      </w:pPr>
      <w:r>
        <w:rPr>
          <w:spacing w:val="1"/>
          <w:lang w:eastAsia="zh-CN"/>
        </w:rPr>
        <w:t>条件要求(学历、年龄等):</w:t>
      </w:r>
      <w:r>
        <w:rPr>
          <w:rFonts w:hint="eastAsia"/>
          <w:spacing w:val="1"/>
          <w:lang w:eastAsia="zh-CN"/>
        </w:rPr>
        <w:t>泌尿外科</w:t>
      </w:r>
      <w:r>
        <w:rPr>
          <w:spacing w:val="1"/>
          <w:lang w:eastAsia="zh-CN"/>
        </w:rPr>
        <w:t>、</w:t>
      </w:r>
      <w:r>
        <w:rPr>
          <w:rFonts w:hint="eastAsia"/>
          <w:spacing w:val="1"/>
          <w:lang w:eastAsia="zh-CN"/>
        </w:rPr>
        <w:t>肿瘤外科</w:t>
      </w:r>
      <w:r>
        <w:rPr>
          <w:spacing w:val="1"/>
          <w:lang w:eastAsia="zh-CN"/>
        </w:rPr>
        <w:t>专</w:t>
      </w:r>
      <w:r>
        <w:rPr>
          <w:lang w:eastAsia="zh-CN"/>
        </w:rPr>
        <w:t>业的相关医务人员；</w:t>
      </w:r>
      <w:r>
        <w:rPr>
          <w:spacing w:val="1"/>
          <w:lang w:eastAsia="zh-CN"/>
        </w:rPr>
        <w:t>原则上要求本科以上学历(特殊情况大专学历也可),具备执业医师</w:t>
      </w:r>
      <w:r>
        <w:rPr>
          <w:spacing w:val="-5"/>
          <w:lang w:eastAsia="zh-CN"/>
        </w:rPr>
        <w:t>资格证及注册证；无年龄限制。</w:t>
      </w:r>
    </w:p>
    <w:p>
      <w:pPr>
        <w:pStyle w:val="2"/>
        <w:keepNext w:val="0"/>
        <w:keepLines w:val="0"/>
        <w:pageBreakBefore w:val="0"/>
        <w:widowControl/>
        <w:kinsoku w:val="0"/>
        <w:wordWrap/>
        <w:overflowPunct/>
        <w:topLinePunct w:val="0"/>
        <w:autoSpaceDE w:val="0"/>
        <w:autoSpaceDN w:val="0"/>
        <w:bidi w:val="0"/>
        <w:adjustRightInd w:val="0"/>
        <w:snapToGrid w:val="0"/>
        <w:spacing w:before="120" w:line="569" w:lineRule="exact"/>
        <w:ind w:left="-105" w:leftChars="-50" w:right="113"/>
        <w:jc w:val="left"/>
        <w:textAlignment w:val="baseline"/>
        <w:rPr>
          <w:lang w:eastAsia="zh-CN"/>
        </w:rPr>
      </w:pPr>
      <w:r>
        <w:rPr>
          <w:spacing w:val="12"/>
          <w:position w:val="22"/>
          <w:lang w:eastAsia="zh-CN"/>
        </w:rPr>
        <w:t>进修时限要求:原则上为6个月以上</w:t>
      </w:r>
      <w:r>
        <w:rPr>
          <w:rFonts w:hint="eastAsia"/>
          <w:spacing w:val="12"/>
          <w:position w:val="22"/>
          <w:lang w:val="en-US" w:eastAsia="zh-CN"/>
        </w:rPr>
        <w:t xml:space="preserve"> </w:t>
      </w:r>
      <w:r>
        <w:rPr>
          <w:spacing w:val="11"/>
          <w:position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20" w:line="220" w:lineRule="auto"/>
        <w:ind w:left="-105" w:leftChars="-50" w:right="113"/>
        <w:jc w:val="left"/>
        <w:textAlignment w:val="baseline"/>
        <w:rPr>
          <w:rFonts w:ascii="黑体" w:hAnsi="黑体" w:eastAsia="黑体" w:cs="黑体"/>
          <w:sz w:val="30"/>
          <w:szCs w:val="30"/>
          <w:lang w:eastAsia="zh-CN"/>
        </w:rPr>
      </w:pPr>
      <w:r>
        <w:rPr>
          <w:rFonts w:ascii="黑体" w:hAnsi="黑体" w:eastAsia="黑体" w:cs="黑体"/>
          <w:sz w:val="30"/>
          <w:szCs w:val="30"/>
          <w:lang w:eastAsia="zh-CN"/>
        </w:rPr>
        <w:t>进修生培养方案：</w:t>
      </w:r>
    </w:p>
    <w:p>
      <w:pPr>
        <w:pStyle w:val="2"/>
        <w:keepNext w:val="0"/>
        <w:keepLines w:val="0"/>
        <w:pageBreakBefore w:val="0"/>
        <w:widowControl/>
        <w:kinsoku w:val="0"/>
        <w:wordWrap/>
        <w:overflowPunct/>
        <w:topLinePunct w:val="0"/>
        <w:autoSpaceDE w:val="0"/>
        <w:autoSpaceDN w:val="0"/>
        <w:bidi w:val="0"/>
        <w:adjustRightInd w:val="0"/>
        <w:snapToGrid w:val="0"/>
        <w:spacing w:before="120" w:line="410" w:lineRule="auto"/>
        <w:ind w:left="-105" w:leftChars="-50" w:right="113" w:firstLine="560"/>
        <w:jc w:val="left"/>
        <w:textAlignment w:val="baseline"/>
        <w:rPr>
          <w:spacing w:val="-8"/>
          <w:lang w:eastAsia="zh-CN"/>
        </w:rPr>
      </w:pPr>
      <w:r>
        <w:rPr>
          <w:spacing w:val="2"/>
          <w:lang w:eastAsia="zh-CN"/>
        </w:rPr>
        <w:t>培养周期原则上为6个月以上</w:t>
      </w:r>
      <w:r>
        <w:rPr>
          <w:rFonts w:hint="eastAsia"/>
          <w:spacing w:val="2"/>
          <w:lang w:val="en-US" w:eastAsia="zh-CN"/>
        </w:rPr>
        <w:t xml:space="preserve"> </w:t>
      </w:r>
      <w:r>
        <w:rPr>
          <w:spacing w:val="1"/>
          <w:lang w:eastAsia="zh-CN"/>
        </w:rPr>
        <w:t>，岗位安排</w:t>
      </w:r>
      <w:r>
        <w:rPr>
          <w:rFonts w:hint="eastAsia"/>
          <w:spacing w:val="1"/>
          <w:lang w:eastAsia="zh-CN"/>
        </w:rPr>
        <w:t>：</w:t>
      </w:r>
      <w:r>
        <w:rPr>
          <w:spacing w:val="-8"/>
          <w:lang w:eastAsia="zh-CN"/>
        </w:rPr>
        <w:t>安排在</w:t>
      </w:r>
      <w:r>
        <w:rPr>
          <w:rFonts w:hint="eastAsia"/>
          <w:spacing w:val="-8"/>
          <w:lang w:eastAsia="zh-CN"/>
        </w:rPr>
        <w:t>泌尿肿瘤外科</w:t>
      </w:r>
      <w:r>
        <w:rPr>
          <w:spacing w:val="-8"/>
          <w:lang w:eastAsia="zh-CN"/>
        </w:rPr>
        <w:t>，跟随带教医师</w:t>
      </w:r>
      <w:r>
        <w:rPr>
          <w:rFonts w:hint="eastAsia"/>
          <w:spacing w:val="2"/>
          <w:lang w:eastAsia="zh-CN"/>
        </w:rPr>
        <w:t>参与所有床位患者的诊疗全程，包括诊断、手术治疗（上台）、并发症处理及后续随访</w:t>
      </w:r>
      <w:r>
        <w:rPr>
          <w:spacing w:val="2"/>
          <w:lang w:eastAsia="zh-CN"/>
        </w:rPr>
        <w:t>。</w:t>
      </w:r>
      <w:r>
        <w:rPr>
          <w:rFonts w:hint="eastAsia"/>
          <w:spacing w:val="-6"/>
          <w:lang w:eastAsia="zh-CN"/>
        </w:rPr>
        <w:t>掌握</w:t>
      </w:r>
      <w:r>
        <w:rPr>
          <w:rFonts w:hint="eastAsia"/>
          <w:spacing w:val="-8"/>
          <w:lang w:eastAsia="zh-CN"/>
        </w:rPr>
        <w:t>泌尿外科常见肿瘤的发病机制、临床特点、常用检查手段、诊断要领、手术适应症及治疗原则</w:t>
      </w:r>
      <w:r>
        <w:rPr>
          <w:spacing w:val="-8"/>
          <w:lang w:eastAsia="zh-CN"/>
        </w:rPr>
        <w:t>等</w:t>
      </w:r>
      <w:r>
        <w:rPr>
          <w:rFonts w:hint="eastAsia"/>
          <w:spacing w:val="-8"/>
          <w:lang w:eastAsia="zh-CN"/>
        </w:rPr>
        <w:t>；</w:t>
      </w:r>
      <w:r>
        <w:rPr>
          <w:spacing w:val="-6"/>
          <w:lang w:eastAsia="zh-CN"/>
        </w:rPr>
        <w:t>进行系列的专题讲座及疑难病</w:t>
      </w:r>
      <w:r>
        <w:rPr>
          <w:spacing w:val="-5"/>
          <w:lang w:eastAsia="zh-CN"/>
        </w:rPr>
        <w:t>例讨论，内容覆盖本学科的理论、技术及最</w:t>
      </w:r>
      <w:r>
        <w:rPr>
          <w:spacing w:val="-6"/>
          <w:lang w:eastAsia="zh-CN"/>
        </w:rPr>
        <w:t>新进展。参加医院组织的各类学术活动。</w:t>
      </w:r>
      <w:r>
        <w:rPr>
          <w:rFonts w:hint="eastAsia"/>
          <w:spacing w:val="-8"/>
          <w:lang w:eastAsia="zh-CN"/>
        </w:rPr>
        <w:t>在培训结束时具备一定</w:t>
      </w:r>
      <w:r>
        <w:rPr>
          <w:spacing w:val="-6"/>
          <w:lang w:eastAsia="zh-CN"/>
        </w:rPr>
        <w:t>常见</w:t>
      </w:r>
      <w:r>
        <w:rPr>
          <w:rFonts w:hint="eastAsia"/>
          <w:spacing w:val="-6"/>
          <w:lang w:eastAsia="zh-CN"/>
        </w:rPr>
        <w:t>泌尿肿瘤的</w:t>
      </w:r>
      <w:r>
        <w:rPr>
          <w:rFonts w:hint="eastAsia"/>
          <w:spacing w:val="-8"/>
          <w:lang w:eastAsia="zh-CN"/>
        </w:rPr>
        <w:t>主刀能力</w:t>
      </w:r>
      <w:r>
        <w:rPr>
          <w:spacing w:val="-5"/>
          <w:lang w:eastAsia="zh-CN"/>
        </w:rPr>
        <w:t>，并进行相关的临床病例总结</w:t>
      </w:r>
      <w:r>
        <w:rPr>
          <w:spacing w:val="-12"/>
          <w:lang w:eastAsia="zh-CN"/>
        </w:rPr>
        <w:t>工作</w:t>
      </w:r>
      <w:r>
        <w:rPr>
          <w:rFonts w:hint="eastAsia"/>
          <w:spacing w:val="-12"/>
          <w:lang w:eastAsia="zh-CN"/>
        </w:rPr>
        <w:t>及科研工作。</w:t>
      </w: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rFonts w:hint="eastAsia"/>
          <w:spacing w:val="-7"/>
          <w:sz w:val="18"/>
          <w:szCs w:val="18"/>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b/>
          <w:bCs/>
          <w:spacing w:val="4"/>
          <w:sz w:val="31"/>
          <w:szCs w:val="31"/>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b/>
          <w:bCs/>
          <w:spacing w:val="4"/>
          <w:sz w:val="31"/>
          <w:szCs w:val="31"/>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z w:val="31"/>
          <w:szCs w:val="31"/>
          <w:lang w:eastAsia="zh-CN"/>
        </w:rPr>
      </w:pPr>
      <w:r>
        <w:rPr>
          <w:b/>
          <w:bCs/>
          <w:spacing w:val="4"/>
          <w:sz w:val="31"/>
          <w:szCs w:val="31"/>
          <w:lang w:eastAsia="zh-CN"/>
        </w:rPr>
        <w:t>培养内容(</w:t>
      </w:r>
      <w:r>
        <w:rPr>
          <w:rFonts w:hint="eastAsia"/>
          <w:b/>
          <w:bCs/>
          <w:spacing w:val="4"/>
          <w:sz w:val="31"/>
          <w:szCs w:val="31"/>
          <w:lang w:eastAsia="zh-CN"/>
        </w:rPr>
        <w:t>学习时间：</w:t>
      </w:r>
      <w:r>
        <w:rPr>
          <w:b/>
          <w:bCs/>
          <w:spacing w:val="4"/>
          <w:sz w:val="31"/>
          <w:szCs w:val="31"/>
          <w:lang w:eastAsia="zh-CN"/>
        </w:rPr>
        <w:t>六个月</w:t>
      </w:r>
      <w:r>
        <w:rPr>
          <w:rFonts w:hint="eastAsia"/>
          <w:b/>
          <w:bCs/>
          <w:spacing w:val="4"/>
          <w:sz w:val="31"/>
          <w:szCs w:val="31"/>
          <w:lang w:eastAsia="zh-CN"/>
        </w:rPr>
        <w:t>至一年</w:t>
      </w:r>
      <w:r>
        <w:rPr>
          <w:b/>
          <w:bCs/>
          <w:spacing w:val="4"/>
          <w:sz w:val="31"/>
          <w:szCs w:val="3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20" w:line="148" w:lineRule="exact"/>
        <w:ind w:left="-105" w:leftChars="-50" w:right="113"/>
        <w:jc w:val="left"/>
        <w:textAlignment w:val="baseline"/>
        <w:rPr>
          <w:lang w:eastAsia="zh-CN"/>
        </w:rPr>
      </w:pPr>
    </w:p>
    <w:tbl>
      <w:tblPr>
        <w:tblStyle w:val="8"/>
        <w:tblW w:w="9830" w:type="dxa"/>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6"/>
        <w:gridCol w:w="3044"/>
        <w:gridCol w:w="2389"/>
        <w:gridCol w:w="1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956"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z w:val="21"/>
                <w:szCs w:val="21"/>
              </w:rPr>
            </w:pPr>
            <w:r>
              <w:rPr>
                <w:b/>
                <w:bCs/>
                <w:spacing w:val="-4"/>
                <w:sz w:val="21"/>
                <w:szCs w:val="21"/>
              </w:rPr>
              <w:t>培训内容</w:t>
            </w:r>
          </w:p>
        </w:tc>
        <w:tc>
          <w:tcPr>
            <w:tcW w:w="3044"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20" w:lineRule="auto"/>
              <w:ind w:left="105" w:leftChars="50" w:right="113"/>
              <w:jc w:val="center"/>
              <w:textAlignment w:val="baseline"/>
              <w:rPr>
                <w:sz w:val="21"/>
                <w:szCs w:val="21"/>
              </w:rPr>
            </w:pPr>
            <w:r>
              <w:rPr>
                <w:spacing w:val="-2"/>
                <w:sz w:val="21"/>
                <w:szCs w:val="21"/>
              </w:rPr>
              <w:t>预期目标</w:t>
            </w:r>
          </w:p>
        </w:tc>
        <w:tc>
          <w:tcPr>
            <w:tcW w:w="2389"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20" w:lineRule="auto"/>
              <w:ind w:left="105" w:leftChars="50" w:right="113"/>
              <w:jc w:val="center"/>
              <w:textAlignment w:val="baseline"/>
              <w:rPr>
                <w:sz w:val="21"/>
                <w:szCs w:val="21"/>
              </w:rPr>
            </w:pPr>
            <w:r>
              <w:rPr>
                <w:spacing w:val="-2"/>
                <w:sz w:val="21"/>
                <w:szCs w:val="21"/>
              </w:rPr>
              <w:t>培训形式</w:t>
            </w:r>
          </w:p>
        </w:tc>
        <w:tc>
          <w:tcPr>
            <w:tcW w:w="1441"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center"/>
              <w:textAlignment w:val="baseline"/>
              <w:rPr>
                <w:sz w:val="21"/>
                <w:szCs w:val="21"/>
              </w:rPr>
            </w:pPr>
            <w:r>
              <w:rPr>
                <w:spacing w:val="2"/>
                <w:sz w:val="21"/>
                <w:szCs w:val="21"/>
              </w:rPr>
              <w:t>带教老师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7" w:hRule="atLeast"/>
        </w:trPr>
        <w:tc>
          <w:tcPr>
            <w:tcW w:w="2956"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z w:val="36"/>
                <w:szCs w:val="36"/>
                <w:lang w:eastAsia="zh-CN"/>
              </w:rPr>
            </w:pPr>
            <w:r>
              <w:rPr>
                <w:rFonts w:hint="eastAsia" w:ascii="微软雅黑" w:hAnsi="微软雅黑" w:eastAsia="微软雅黑" w:cs="微软雅黑"/>
                <w:color w:val="333333"/>
                <w:sz w:val="28"/>
                <w:szCs w:val="28"/>
                <w:shd w:val="clear" w:color="auto" w:fill="FFFFFF"/>
                <w:lang w:eastAsia="zh-CN"/>
              </w:rPr>
              <w:t>1.泌尿肿瘤外</w:t>
            </w:r>
            <w:r>
              <w:rPr>
                <w:rFonts w:ascii="微软雅黑" w:hAnsi="微软雅黑" w:eastAsia="微软雅黑" w:cs="微软雅黑"/>
                <w:color w:val="333333"/>
                <w:sz w:val="28"/>
                <w:szCs w:val="28"/>
                <w:shd w:val="clear" w:color="auto" w:fill="FFFFFF"/>
                <w:lang w:eastAsia="zh-CN"/>
              </w:rPr>
              <w:t>科常见恶性肿瘤（</w:t>
            </w:r>
            <w:r>
              <w:rPr>
                <w:rFonts w:hint="eastAsia" w:ascii="微软雅黑" w:hAnsi="微软雅黑" w:eastAsia="微软雅黑" w:cs="微软雅黑"/>
                <w:color w:val="333333"/>
                <w:sz w:val="28"/>
                <w:szCs w:val="28"/>
                <w:shd w:val="clear" w:color="auto" w:fill="FFFFFF"/>
                <w:lang w:eastAsia="zh-CN"/>
              </w:rPr>
              <w:t>肾癌、输尿管癌、膀胱癌、前列腺癌</w:t>
            </w:r>
            <w:r>
              <w:rPr>
                <w:rFonts w:ascii="微软雅黑" w:hAnsi="微软雅黑" w:eastAsia="微软雅黑" w:cs="微软雅黑"/>
                <w:color w:val="333333"/>
                <w:sz w:val="28"/>
                <w:szCs w:val="28"/>
                <w:shd w:val="clear" w:color="auto" w:fill="FFFFFF"/>
                <w:lang w:eastAsia="zh-CN"/>
              </w:rPr>
              <w:t>等）的临床特点，诊断标准，</w:t>
            </w:r>
            <w:r>
              <w:rPr>
                <w:rFonts w:hint="eastAsia" w:ascii="微软雅黑" w:hAnsi="微软雅黑" w:eastAsia="微软雅黑" w:cs="微软雅黑"/>
                <w:color w:val="333333"/>
                <w:sz w:val="28"/>
                <w:szCs w:val="28"/>
                <w:shd w:val="clear" w:color="auto" w:fill="FFFFFF"/>
                <w:lang w:eastAsia="zh-CN"/>
              </w:rPr>
              <w:t>手术</w:t>
            </w:r>
            <w:r>
              <w:rPr>
                <w:rFonts w:ascii="微软雅黑" w:hAnsi="微软雅黑" w:eastAsia="微软雅黑" w:cs="微软雅黑"/>
                <w:color w:val="333333"/>
                <w:sz w:val="28"/>
                <w:szCs w:val="28"/>
                <w:shd w:val="clear" w:color="auto" w:fill="FFFFFF"/>
                <w:lang w:eastAsia="zh-CN"/>
              </w:rPr>
              <w:t>治疗原则，适应症</w:t>
            </w:r>
            <w:r>
              <w:rPr>
                <w:rFonts w:hint="eastAsia" w:ascii="微软雅黑" w:hAnsi="微软雅黑" w:eastAsia="微软雅黑" w:cs="微软雅黑"/>
                <w:color w:val="333333"/>
                <w:sz w:val="28"/>
                <w:szCs w:val="28"/>
                <w:shd w:val="clear" w:color="auto" w:fill="FFFFFF"/>
                <w:lang w:eastAsia="zh-CN"/>
              </w:rPr>
              <w:t>及并发症处理</w:t>
            </w:r>
            <w:r>
              <w:rPr>
                <w:rFonts w:ascii="微软雅黑" w:hAnsi="微软雅黑" w:eastAsia="微软雅黑" w:cs="微软雅黑"/>
                <w:color w:val="333333"/>
                <w:sz w:val="28"/>
                <w:szCs w:val="28"/>
                <w:shd w:val="clear" w:color="auto" w:fill="FFFFFF"/>
                <w:lang w:eastAsia="zh-CN"/>
              </w:rPr>
              <w:t>。</w:t>
            </w:r>
          </w:p>
        </w:tc>
        <w:tc>
          <w:tcPr>
            <w:tcW w:w="3044"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59" w:lineRule="auto"/>
              <w:ind w:left="105" w:leftChars="50" w:right="113"/>
              <w:jc w:val="left"/>
              <w:textAlignment w:val="baseline"/>
              <w:rPr>
                <w:sz w:val="36"/>
                <w:szCs w:val="36"/>
                <w:lang w:eastAsia="zh-CN"/>
              </w:rPr>
            </w:pPr>
            <w:r>
              <w:rPr>
                <w:rFonts w:ascii="微软雅黑" w:hAnsi="微软雅黑" w:eastAsia="微软雅黑" w:cs="微软雅黑"/>
                <w:color w:val="333333"/>
                <w:sz w:val="28"/>
                <w:szCs w:val="28"/>
                <w:shd w:val="clear" w:color="auto" w:fill="FFFFFF"/>
                <w:lang w:eastAsia="zh-CN"/>
              </w:rPr>
              <w:t>掌握</w:t>
            </w:r>
            <w:r>
              <w:rPr>
                <w:rFonts w:hint="eastAsia" w:ascii="微软雅黑" w:hAnsi="微软雅黑" w:eastAsia="微软雅黑" w:cs="微软雅黑"/>
                <w:color w:val="333333"/>
                <w:sz w:val="28"/>
                <w:szCs w:val="28"/>
                <w:shd w:val="clear" w:color="auto" w:fill="FFFFFF"/>
                <w:lang w:eastAsia="zh-CN"/>
              </w:rPr>
              <w:t>泌尿肿瘤外科</w:t>
            </w:r>
            <w:r>
              <w:rPr>
                <w:rFonts w:ascii="微软雅黑" w:hAnsi="微软雅黑" w:eastAsia="微软雅黑" w:cs="微软雅黑"/>
                <w:color w:val="333333"/>
                <w:sz w:val="28"/>
                <w:szCs w:val="28"/>
                <w:shd w:val="clear" w:color="auto" w:fill="FFFFFF"/>
                <w:lang w:eastAsia="zh-CN"/>
              </w:rPr>
              <w:t>治疗原则，常见</w:t>
            </w:r>
            <w:r>
              <w:rPr>
                <w:rFonts w:hint="eastAsia" w:ascii="微软雅黑" w:hAnsi="微软雅黑" w:eastAsia="微软雅黑" w:cs="微软雅黑"/>
                <w:color w:val="333333"/>
                <w:sz w:val="28"/>
                <w:szCs w:val="28"/>
                <w:shd w:val="clear" w:color="auto" w:fill="FFFFFF"/>
                <w:lang w:eastAsia="zh-CN"/>
              </w:rPr>
              <w:t>泌尿男生殖</w:t>
            </w:r>
            <w:r>
              <w:rPr>
                <w:rFonts w:ascii="微软雅黑" w:hAnsi="微软雅黑" w:eastAsia="微软雅黑" w:cs="微软雅黑"/>
                <w:color w:val="333333"/>
                <w:sz w:val="28"/>
                <w:szCs w:val="28"/>
                <w:shd w:val="clear" w:color="auto" w:fill="FFFFFF"/>
                <w:lang w:eastAsia="zh-CN"/>
              </w:rPr>
              <w:t>肿瘤</w:t>
            </w:r>
            <w:r>
              <w:rPr>
                <w:rFonts w:hint="eastAsia" w:ascii="微软雅黑" w:hAnsi="微软雅黑" w:eastAsia="微软雅黑" w:cs="微软雅黑"/>
                <w:color w:val="333333"/>
                <w:sz w:val="28"/>
                <w:szCs w:val="28"/>
                <w:shd w:val="clear" w:color="auto" w:fill="FFFFFF"/>
                <w:lang w:eastAsia="zh-CN"/>
              </w:rPr>
              <w:t>外</w:t>
            </w:r>
            <w:r>
              <w:rPr>
                <w:rFonts w:ascii="微软雅黑" w:hAnsi="微软雅黑" w:eastAsia="微软雅黑" w:cs="微软雅黑"/>
                <w:color w:val="333333"/>
                <w:sz w:val="28"/>
                <w:szCs w:val="28"/>
                <w:shd w:val="clear" w:color="auto" w:fill="FFFFFF"/>
                <w:lang w:eastAsia="zh-CN"/>
              </w:rPr>
              <w:t>科治疗规范；</w:t>
            </w:r>
            <w:r>
              <w:rPr>
                <w:rFonts w:hint="eastAsia" w:ascii="微软雅黑" w:hAnsi="微软雅黑" w:eastAsia="微软雅黑" w:cs="微软雅黑"/>
                <w:color w:val="333333"/>
                <w:sz w:val="28"/>
                <w:szCs w:val="28"/>
                <w:shd w:val="clear" w:color="auto" w:fill="FFFFFF"/>
                <w:lang w:eastAsia="zh-CN"/>
              </w:rPr>
              <w:t>手术</w:t>
            </w:r>
            <w:r>
              <w:rPr>
                <w:rFonts w:ascii="微软雅黑" w:hAnsi="微软雅黑" w:eastAsia="微软雅黑" w:cs="微软雅黑"/>
                <w:color w:val="333333"/>
                <w:sz w:val="28"/>
                <w:szCs w:val="28"/>
                <w:shd w:val="clear" w:color="auto" w:fill="FFFFFF"/>
                <w:lang w:eastAsia="zh-CN"/>
              </w:rPr>
              <w:t>适应症、禁忌症</w:t>
            </w:r>
          </w:p>
          <w:p>
            <w:pPr>
              <w:pStyle w:val="9"/>
              <w:keepNext w:val="0"/>
              <w:keepLines w:val="0"/>
              <w:pageBreakBefore w:val="0"/>
              <w:widowControl/>
              <w:kinsoku w:val="0"/>
              <w:wordWrap/>
              <w:overflowPunct/>
              <w:topLinePunct w:val="0"/>
              <w:autoSpaceDE w:val="0"/>
              <w:autoSpaceDN w:val="0"/>
              <w:bidi w:val="0"/>
              <w:adjustRightInd w:val="0"/>
              <w:snapToGrid w:val="0"/>
              <w:spacing w:before="120" w:line="259" w:lineRule="auto"/>
              <w:ind w:left="105" w:leftChars="50" w:right="113"/>
              <w:jc w:val="left"/>
              <w:textAlignment w:val="baseline"/>
              <w:rPr>
                <w:sz w:val="36"/>
                <w:szCs w:val="36"/>
                <w:lang w:eastAsia="zh-CN"/>
              </w:rPr>
            </w:pPr>
          </w:p>
          <w:p>
            <w:pPr>
              <w:pStyle w:val="9"/>
              <w:keepNext w:val="0"/>
              <w:keepLines w:val="0"/>
              <w:pageBreakBefore w:val="0"/>
              <w:widowControl/>
              <w:kinsoku w:val="0"/>
              <w:wordWrap/>
              <w:overflowPunct/>
              <w:topLinePunct w:val="0"/>
              <w:autoSpaceDE w:val="0"/>
              <w:autoSpaceDN w:val="0"/>
              <w:bidi w:val="0"/>
              <w:adjustRightInd w:val="0"/>
              <w:snapToGrid w:val="0"/>
              <w:spacing w:before="120" w:line="259" w:lineRule="auto"/>
              <w:ind w:left="105" w:leftChars="50" w:right="113"/>
              <w:jc w:val="left"/>
              <w:textAlignment w:val="baseline"/>
              <w:rPr>
                <w:sz w:val="36"/>
                <w:szCs w:val="36"/>
                <w:lang w:eastAsia="zh-CN"/>
              </w:rPr>
            </w:pPr>
          </w:p>
          <w:p>
            <w:pPr>
              <w:pStyle w:val="9"/>
              <w:keepNext w:val="0"/>
              <w:keepLines w:val="0"/>
              <w:pageBreakBefore w:val="0"/>
              <w:widowControl/>
              <w:kinsoku w:val="0"/>
              <w:wordWrap/>
              <w:overflowPunct/>
              <w:topLinePunct w:val="0"/>
              <w:autoSpaceDE w:val="0"/>
              <w:autoSpaceDN w:val="0"/>
              <w:bidi w:val="0"/>
              <w:adjustRightInd w:val="0"/>
              <w:snapToGrid w:val="0"/>
              <w:spacing w:before="120" w:line="259" w:lineRule="auto"/>
              <w:ind w:left="105" w:leftChars="50" w:right="113"/>
              <w:jc w:val="left"/>
              <w:textAlignment w:val="baseline"/>
              <w:rPr>
                <w:sz w:val="36"/>
                <w:szCs w:val="36"/>
                <w:lang w:eastAsia="zh-CN"/>
              </w:rPr>
            </w:pPr>
          </w:p>
        </w:tc>
        <w:tc>
          <w:tcPr>
            <w:tcW w:w="2389"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20" w:lineRule="auto"/>
              <w:ind w:left="105" w:leftChars="50" w:right="113"/>
              <w:jc w:val="left"/>
              <w:textAlignment w:val="baseline"/>
              <w:rPr>
                <w:sz w:val="24"/>
                <w:szCs w:val="24"/>
                <w:lang w:eastAsia="zh-CN"/>
              </w:rPr>
            </w:pPr>
            <w:r>
              <w:rPr>
                <w:sz w:val="24"/>
                <w:szCs w:val="24"/>
                <w:lang w:eastAsia="zh-CN"/>
              </w:rPr>
              <w:t>1.以《</w:t>
            </w:r>
            <w:r>
              <w:rPr>
                <w:rFonts w:hint="eastAsia"/>
                <w:sz w:val="24"/>
                <w:szCs w:val="24"/>
                <w:lang w:eastAsia="zh-CN"/>
              </w:rPr>
              <w:t>泌尿肿瘤外科学</w:t>
            </w:r>
            <w:r>
              <w:rPr>
                <w:sz w:val="24"/>
                <w:szCs w:val="24"/>
                <w:lang w:eastAsia="zh-CN"/>
              </w:rPr>
              <w:t>》为基本教材教学。</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z w:val="24"/>
                <w:szCs w:val="24"/>
                <w:lang w:eastAsia="zh-CN"/>
              </w:rPr>
            </w:pPr>
            <w:r>
              <w:rPr>
                <w:sz w:val="24"/>
                <w:szCs w:val="24"/>
                <w:lang w:eastAsia="zh-CN"/>
              </w:rPr>
              <w:t>2.教师示范及实践操作。</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z w:val="24"/>
                <w:szCs w:val="24"/>
                <w:lang w:eastAsia="zh-CN"/>
              </w:rPr>
            </w:pPr>
            <w:r>
              <w:rPr>
                <w:sz w:val="24"/>
                <w:szCs w:val="24"/>
                <w:lang w:eastAsia="zh-CN"/>
              </w:rPr>
              <w:t>3.结合临床及手术结果分析典型与非典型病例。</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z w:val="24"/>
                <w:szCs w:val="24"/>
              </w:rPr>
            </w:pPr>
            <w:r>
              <w:rPr>
                <w:sz w:val="24"/>
                <w:szCs w:val="24"/>
                <w:lang w:eastAsia="zh-CN"/>
              </w:rPr>
              <w:t>4.专题讲座。</w:t>
            </w:r>
          </w:p>
        </w:tc>
        <w:tc>
          <w:tcPr>
            <w:tcW w:w="1441"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1"/>
                <w:sz w:val="28"/>
                <w:szCs w:val="28"/>
                <w:lang w:eastAsia="zh-CN"/>
              </w:rPr>
            </w:pP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1"/>
                <w:sz w:val="28"/>
                <w:szCs w:val="28"/>
                <w:lang w:eastAsia="zh-CN"/>
              </w:rPr>
            </w:pPr>
            <w:r>
              <w:rPr>
                <w:rFonts w:hint="eastAsia"/>
                <w:spacing w:val="1"/>
                <w:sz w:val="28"/>
                <w:szCs w:val="28"/>
                <w:lang w:eastAsia="zh-CN"/>
              </w:rPr>
              <w:t>陈书尚</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rFonts w:hint="eastAsia"/>
                <w:spacing w:val="1"/>
                <w:sz w:val="28"/>
                <w:szCs w:val="28"/>
              </w:rPr>
            </w:pPr>
            <w:r>
              <w:rPr>
                <w:rFonts w:hint="eastAsia"/>
                <w:spacing w:val="1"/>
                <w:sz w:val="28"/>
                <w:szCs w:val="28"/>
                <w:lang w:eastAsia="zh-CN"/>
              </w:rPr>
              <w:t>居正华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2956"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20" w:lineRule="auto"/>
              <w:ind w:left="105" w:leftChars="50" w:right="113"/>
              <w:jc w:val="left"/>
              <w:textAlignment w:val="baseline"/>
              <w:rPr>
                <w:sz w:val="36"/>
                <w:szCs w:val="36"/>
                <w:lang w:eastAsia="zh-CN"/>
              </w:rPr>
            </w:pPr>
            <w:r>
              <w:rPr>
                <w:rFonts w:hint="eastAsia" w:ascii="微软雅黑" w:hAnsi="微软雅黑" w:eastAsia="微软雅黑" w:cs="微软雅黑"/>
                <w:color w:val="333333"/>
                <w:sz w:val="28"/>
                <w:szCs w:val="28"/>
                <w:shd w:val="clear" w:color="auto" w:fill="FFFFFF"/>
                <w:lang w:eastAsia="zh-CN"/>
              </w:rPr>
              <w:t>2.手术方案</w:t>
            </w:r>
            <w:r>
              <w:rPr>
                <w:rFonts w:ascii="微软雅黑" w:hAnsi="微软雅黑" w:eastAsia="微软雅黑" w:cs="微软雅黑"/>
                <w:color w:val="333333"/>
                <w:sz w:val="28"/>
                <w:szCs w:val="28"/>
                <w:shd w:val="clear" w:color="auto" w:fill="FFFFFF"/>
                <w:lang w:eastAsia="zh-CN"/>
              </w:rPr>
              <w:t>制定、</w:t>
            </w:r>
            <w:r>
              <w:rPr>
                <w:rFonts w:hint="eastAsia" w:ascii="微软雅黑" w:hAnsi="微软雅黑" w:eastAsia="微软雅黑" w:cs="微软雅黑"/>
                <w:color w:val="333333"/>
                <w:sz w:val="28"/>
                <w:szCs w:val="28"/>
                <w:shd w:val="clear" w:color="auto" w:fill="FFFFFF"/>
                <w:lang w:eastAsia="zh-CN"/>
              </w:rPr>
              <w:t>手术技巧学习</w:t>
            </w:r>
            <w:r>
              <w:rPr>
                <w:rFonts w:ascii="微软雅黑" w:hAnsi="微软雅黑" w:eastAsia="微软雅黑" w:cs="微软雅黑"/>
                <w:color w:val="333333"/>
                <w:sz w:val="28"/>
                <w:szCs w:val="28"/>
                <w:shd w:val="clear" w:color="auto" w:fill="FFFFFF"/>
                <w:lang w:eastAsia="zh-CN"/>
              </w:rPr>
              <w:t>，各种常见肿瘤</w:t>
            </w:r>
            <w:r>
              <w:rPr>
                <w:rFonts w:hint="eastAsia" w:ascii="微软雅黑" w:hAnsi="微软雅黑" w:eastAsia="微软雅黑" w:cs="微软雅黑"/>
                <w:color w:val="333333"/>
                <w:sz w:val="28"/>
                <w:szCs w:val="28"/>
                <w:shd w:val="clear" w:color="auto" w:fill="FFFFFF"/>
                <w:lang w:eastAsia="zh-CN"/>
              </w:rPr>
              <w:t>NCCN治疗指南临床应用原则。</w:t>
            </w:r>
          </w:p>
        </w:tc>
        <w:tc>
          <w:tcPr>
            <w:tcW w:w="3044"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06" w:lineRule="auto"/>
              <w:ind w:left="105" w:leftChars="50" w:right="113"/>
              <w:jc w:val="left"/>
              <w:textAlignment w:val="baseline"/>
              <w:rPr>
                <w:sz w:val="36"/>
                <w:szCs w:val="36"/>
                <w:lang w:eastAsia="zh-CN"/>
              </w:rPr>
            </w:pPr>
            <w:r>
              <w:rPr>
                <w:rFonts w:hint="eastAsia" w:ascii="微软雅黑" w:hAnsi="微软雅黑" w:eastAsia="微软雅黑" w:cs="微软雅黑"/>
                <w:color w:val="333333"/>
                <w:sz w:val="28"/>
                <w:szCs w:val="28"/>
                <w:shd w:val="clear" w:color="auto" w:fill="FFFFFF"/>
                <w:lang w:eastAsia="zh-CN"/>
              </w:rPr>
              <w:t>具备一定的手术能力</w:t>
            </w:r>
            <w:r>
              <w:rPr>
                <w:rFonts w:ascii="微软雅黑" w:hAnsi="微软雅黑" w:eastAsia="微软雅黑" w:cs="微软雅黑"/>
                <w:color w:val="333333"/>
                <w:sz w:val="28"/>
                <w:szCs w:val="28"/>
                <w:shd w:val="clear" w:color="auto" w:fill="FFFFFF"/>
                <w:lang w:eastAsia="zh-CN"/>
              </w:rPr>
              <w:t>，肿瘤相关急症的观察检测和处理</w:t>
            </w:r>
          </w:p>
        </w:tc>
        <w:tc>
          <w:tcPr>
            <w:tcW w:w="2389"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20" w:lineRule="auto"/>
              <w:ind w:left="105" w:leftChars="50" w:right="113" w:firstLine="0" w:firstLineChars="0"/>
              <w:jc w:val="left"/>
              <w:textAlignment w:val="baseline"/>
              <w:rPr>
                <w:sz w:val="24"/>
                <w:szCs w:val="24"/>
                <w:lang w:eastAsia="zh-CN"/>
              </w:rPr>
            </w:pPr>
            <w:r>
              <w:rPr>
                <w:rFonts w:hint="eastAsia"/>
                <w:sz w:val="24"/>
                <w:szCs w:val="24"/>
                <w:lang w:val="en-US" w:eastAsia="zh-CN"/>
              </w:rPr>
              <w:t xml:space="preserve"> </w:t>
            </w:r>
            <w:r>
              <w:rPr>
                <w:sz w:val="24"/>
                <w:szCs w:val="24"/>
                <w:lang w:eastAsia="zh-CN"/>
              </w:rPr>
              <w:t>1.以《</w:t>
            </w:r>
            <w:r>
              <w:rPr>
                <w:rFonts w:hint="eastAsia"/>
                <w:sz w:val="24"/>
                <w:szCs w:val="24"/>
                <w:lang w:eastAsia="zh-CN"/>
              </w:rPr>
              <w:t>泌尿肿瘤外科学</w:t>
            </w:r>
            <w:r>
              <w:rPr>
                <w:sz w:val="24"/>
                <w:szCs w:val="24"/>
                <w:lang w:eastAsia="zh-CN"/>
              </w:rPr>
              <w:t>》</w:t>
            </w:r>
            <w:r>
              <w:rPr>
                <w:spacing w:val="-2"/>
                <w:sz w:val="24"/>
                <w:szCs w:val="24"/>
                <w:lang w:eastAsia="zh-CN"/>
              </w:rPr>
              <w:t>为基本教材教</w:t>
            </w:r>
            <w:r>
              <w:rPr>
                <w:spacing w:val="2"/>
                <w:sz w:val="24"/>
                <w:szCs w:val="24"/>
                <w:lang w:eastAsia="zh-CN"/>
              </w:rPr>
              <w:t>学。</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firstLine="198" w:firstLineChars="82"/>
              <w:jc w:val="left"/>
              <w:textAlignment w:val="baseline"/>
              <w:rPr>
                <w:sz w:val="24"/>
                <w:szCs w:val="24"/>
                <w:lang w:eastAsia="zh-CN"/>
              </w:rPr>
            </w:pPr>
            <w:r>
              <w:rPr>
                <w:spacing w:val="1"/>
                <w:sz w:val="24"/>
                <w:szCs w:val="24"/>
                <w:lang w:eastAsia="zh-CN"/>
              </w:rPr>
              <w:t>2.教师示范及实</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z w:val="24"/>
                <w:szCs w:val="24"/>
                <w:lang w:eastAsia="zh-CN"/>
              </w:rPr>
            </w:pPr>
            <w:r>
              <w:rPr>
                <w:spacing w:val="1"/>
                <w:sz w:val="24"/>
                <w:szCs w:val="24"/>
                <w:lang w:eastAsia="zh-CN"/>
              </w:rPr>
              <w:t>践操作。</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firstLine="240" w:firstLineChars="100"/>
              <w:jc w:val="left"/>
              <w:textAlignment w:val="baseline"/>
              <w:rPr>
                <w:sz w:val="24"/>
                <w:szCs w:val="24"/>
                <w:lang w:eastAsia="zh-CN"/>
              </w:rPr>
            </w:pPr>
            <w:r>
              <w:rPr>
                <w:sz w:val="24"/>
                <w:szCs w:val="24"/>
                <w:lang w:eastAsia="zh-CN"/>
              </w:rPr>
              <w:t>3.专题讲座。</w:t>
            </w:r>
          </w:p>
        </w:tc>
        <w:tc>
          <w:tcPr>
            <w:tcW w:w="1441"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1"/>
                <w:sz w:val="28"/>
                <w:szCs w:val="28"/>
                <w:lang w:eastAsia="zh-CN"/>
              </w:rPr>
            </w:pP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1"/>
                <w:sz w:val="28"/>
                <w:szCs w:val="28"/>
                <w:lang w:eastAsia="zh-CN"/>
              </w:rPr>
            </w:pPr>
            <w:r>
              <w:rPr>
                <w:rFonts w:hint="eastAsia"/>
                <w:spacing w:val="1"/>
                <w:sz w:val="28"/>
                <w:szCs w:val="28"/>
                <w:lang w:eastAsia="zh-CN"/>
              </w:rPr>
              <w:t>陈书尚</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1"/>
                <w:sz w:val="28"/>
                <w:szCs w:val="28"/>
                <w:lang w:eastAsia="zh-CN"/>
              </w:rPr>
            </w:pPr>
            <w:r>
              <w:rPr>
                <w:rFonts w:hint="eastAsia"/>
                <w:spacing w:val="1"/>
                <w:sz w:val="28"/>
                <w:szCs w:val="28"/>
                <w:lang w:eastAsia="zh-CN"/>
              </w:rPr>
              <w:t>居正华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3" w:hRule="atLeast"/>
        </w:trPr>
        <w:tc>
          <w:tcPr>
            <w:tcW w:w="2956"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z w:val="36"/>
                <w:szCs w:val="36"/>
                <w:lang w:eastAsia="zh-CN"/>
              </w:rPr>
            </w:pPr>
            <w:r>
              <w:rPr>
                <w:rFonts w:hint="eastAsia" w:ascii="微软雅黑" w:hAnsi="微软雅黑" w:eastAsia="微软雅黑" w:cs="微软雅黑"/>
                <w:color w:val="333333"/>
                <w:sz w:val="28"/>
                <w:szCs w:val="28"/>
                <w:shd w:val="clear" w:color="auto" w:fill="FFFFFF"/>
                <w:lang w:eastAsia="zh-CN"/>
              </w:rPr>
              <w:t>3.泌尿男生殖肿瘤外科</w:t>
            </w:r>
            <w:r>
              <w:rPr>
                <w:rFonts w:ascii="微软雅黑" w:hAnsi="微软雅黑" w:eastAsia="微软雅黑" w:cs="微软雅黑"/>
                <w:color w:val="333333"/>
                <w:sz w:val="28"/>
                <w:szCs w:val="28"/>
                <w:shd w:val="clear" w:color="auto" w:fill="FFFFFF"/>
                <w:lang w:eastAsia="zh-CN"/>
              </w:rPr>
              <w:t>新进展。</w:t>
            </w:r>
          </w:p>
        </w:tc>
        <w:tc>
          <w:tcPr>
            <w:tcW w:w="3044" w:type="dxa"/>
          </w:tcPr>
          <w:p>
            <w:pPr>
              <w:keepNext w:val="0"/>
              <w:keepLines w:val="0"/>
              <w:pageBreakBefore w:val="0"/>
              <w:widowControl/>
              <w:kinsoku w:val="0"/>
              <w:wordWrap/>
              <w:overflowPunct/>
              <w:topLinePunct w:val="0"/>
              <w:autoSpaceDE w:val="0"/>
              <w:autoSpaceDN w:val="0"/>
              <w:bidi w:val="0"/>
              <w:adjustRightInd w:val="0"/>
              <w:snapToGrid w:val="0"/>
              <w:spacing w:before="120" w:line="297" w:lineRule="auto"/>
              <w:ind w:left="105" w:leftChars="50" w:right="113"/>
              <w:jc w:val="left"/>
              <w:textAlignment w:val="baseline"/>
              <w:rPr>
                <w:sz w:val="36"/>
                <w:szCs w:val="36"/>
                <w:lang w:eastAsia="zh-CN"/>
              </w:rPr>
            </w:pPr>
            <w:r>
              <w:rPr>
                <w:rFonts w:ascii="微软雅黑" w:hAnsi="微软雅黑" w:eastAsia="微软雅黑" w:cs="微软雅黑"/>
                <w:color w:val="333333"/>
                <w:sz w:val="28"/>
                <w:szCs w:val="28"/>
                <w:shd w:val="clear" w:color="auto" w:fill="FFFFFF"/>
                <w:lang w:eastAsia="zh-CN"/>
              </w:rPr>
              <w:t>具备一定阅读外文文献集科研能力</w:t>
            </w:r>
          </w:p>
          <w:p>
            <w:pPr>
              <w:keepNext w:val="0"/>
              <w:keepLines w:val="0"/>
              <w:pageBreakBefore w:val="0"/>
              <w:widowControl/>
              <w:kinsoku w:val="0"/>
              <w:wordWrap/>
              <w:overflowPunct/>
              <w:topLinePunct w:val="0"/>
              <w:autoSpaceDE w:val="0"/>
              <w:autoSpaceDN w:val="0"/>
              <w:bidi w:val="0"/>
              <w:adjustRightInd w:val="0"/>
              <w:snapToGrid w:val="0"/>
              <w:spacing w:before="120" w:line="297" w:lineRule="auto"/>
              <w:ind w:left="105" w:leftChars="50" w:right="113"/>
              <w:jc w:val="left"/>
              <w:textAlignment w:val="baseline"/>
              <w:rPr>
                <w:sz w:val="36"/>
                <w:szCs w:val="36"/>
                <w:lang w:eastAsia="zh-CN"/>
              </w:rPr>
            </w:pPr>
          </w:p>
          <w:p>
            <w:pPr>
              <w:pStyle w:val="9"/>
              <w:keepNext w:val="0"/>
              <w:keepLines w:val="0"/>
              <w:pageBreakBefore w:val="0"/>
              <w:widowControl/>
              <w:kinsoku w:val="0"/>
              <w:wordWrap/>
              <w:overflowPunct/>
              <w:topLinePunct w:val="0"/>
              <w:autoSpaceDE w:val="0"/>
              <w:autoSpaceDN w:val="0"/>
              <w:bidi w:val="0"/>
              <w:adjustRightInd w:val="0"/>
              <w:snapToGrid w:val="0"/>
              <w:spacing w:before="120" w:line="255" w:lineRule="auto"/>
              <w:ind w:left="105" w:leftChars="50" w:right="113"/>
              <w:jc w:val="left"/>
              <w:textAlignment w:val="baseline"/>
              <w:rPr>
                <w:sz w:val="36"/>
                <w:szCs w:val="36"/>
                <w:lang w:eastAsia="zh-CN"/>
              </w:rPr>
            </w:pPr>
          </w:p>
        </w:tc>
        <w:tc>
          <w:tcPr>
            <w:tcW w:w="2389"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20" w:lineRule="auto"/>
              <w:ind w:left="105" w:leftChars="50" w:right="113"/>
              <w:jc w:val="left"/>
              <w:textAlignment w:val="baseline"/>
              <w:rPr>
                <w:sz w:val="24"/>
                <w:szCs w:val="24"/>
                <w:lang w:eastAsia="zh-CN"/>
              </w:rPr>
            </w:pPr>
            <w:r>
              <w:rPr>
                <w:sz w:val="24"/>
                <w:szCs w:val="24"/>
                <w:lang w:eastAsia="zh-CN"/>
              </w:rPr>
              <w:t>1.以《</w:t>
            </w:r>
            <w:r>
              <w:rPr>
                <w:rFonts w:hint="eastAsia"/>
                <w:sz w:val="24"/>
                <w:szCs w:val="24"/>
                <w:lang w:eastAsia="zh-CN"/>
              </w:rPr>
              <w:t>泌尿肿瘤外科学</w:t>
            </w:r>
            <w:r>
              <w:rPr>
                <w:sz w:val="24"/>
                <w:szCs w:val="24"/>
                <w:lang w:eastAsia="zh-CN"/>
              </w:rPr>
              <w:t>》</w:t>
            </w:r>
            <w:r>
              <w:rPr>
                <w:spacing w:val="-2"/>
                <w:sz w:val="24"/>
                <w:szCs w:val="24"/>
                <w:lang w:eastAsia="zh-CN"/>
              </w:rPr>
              <w:t>为基本教材教</w:t>
            </w:r>
            <w:r>
              <w:rPr>
                <w:spacing w:val="2"/>
                <w:sz w:val="24"/>
                <w:szCs w:val="24"/>
                <w:lang w:eastAsia="zh-CN"/>
              </w:rPr>
              <w:t>学。</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z w:val="24"/>
                <w:szCs w:val="24"/>
                <w:lang w:eastAsia="zh-CN"/>
              </w:rPr>
            </w:pPr>
            <w:r>
              <w:rPr>
                <w:spacing w:val="2"/>
                <w:sz w:val="24"/>
                <w:szCs w:val="24"/>
                <w:lang w:eastAsia="zh-CN"/>
              </w:rPr>
              <w:t>2.教师示范</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firstLine="0" w:firstLineChars="0"/>
              <w:jc w:val="left"/>
              <w:textAlignment w:val="baseline"/>
              <w:rPr>
                <w:sz w:val="24"/>
                <w:szCs w:val="24"/>
                <w:lang w:eastAsia="zh-CN"/>
              </w:rPr>
            </w:pPr>
            <w:r>
              <w:rPr>
                <w:spacing w:val="1"/>
                <w:sz w:val="24"/>
                <w:szCs w:val="24"/>
                <w:lang w:eastAsia="zh-CN"/>
              </w:rPr>
              <w:t>3.结合临床及手术结果分析典型</w:t>
            </w:r>
            <w:r>
              <w:rPr>
                <w:spacing w:val="-1"/>
                <w:sz w:val="24"/>
                <w:szCs w:val="24"/>
                <w:lang w:eastAsia="zh-CN"/>
              </w:rPr>
              <w:t>与非典型病例，</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firstLine="0" w:firstLineChars="0"/>
              <w:jc w:val="left"/>
              <w:textAlignment w:val="baseline"/>
              <w:rPr>
                <w:sz w:val="24"/>
                <w:szCs w:val="24"/>
                <w:lang w:eastAsia="zh-CN"/>
              </w:rPr>
            </w:pPr>
            <w:r>
              <w:rPr>
                <w:sz w:val="24"/>
                <w:szCs w:val="24"/>
                <w:lang w:eastAsia="zh-CN"/>
              </w:rPr>
              <w:t>4.专题讲座。</w:t>
            </w:r>
          </w:p>
        </w:tc>
        <w:tc>
          <w:tcPr>
            <w:tcW w:w="1441" w:type="dxa"/>
          </w:tcPr>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1"/>
                <w:sz w:val="28"/>
                <w:szCs w:val="28"/>
                <w:lang w:eastAsia="zh-CN"/>
              </w:rPr>
            </w:pP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1"/>
                <w:sz w:val="28"/>
                <w:szCs w:val="28"/>
                <w:lang w:eastAsia="zh-CN"/>
              </w:rPr>
            </w:pPr>
            <w:r>
              <w:rPr>
                <w:rFonts w:hint="eastAsia"/>
                <w:spacing w:val="1"/>
                <w:sz w:val="28"/>
                <w:szCs w:val="28"/>
                <w:lang w:eastAsia="zh-CN"/>
              </w:rPr>
              <w:t>陈书尚</w:t>
            </w:r>
          </w:p>
          <w:p>
            <w:pPr>
              <w:pStyle w:val="9"/>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spacing w:val="1"/>
                <w:sz w:val="28"/>
                <w:szCs w:val="28"/>
                <w:lang w:eastAsia="zh-CN"/>
              </w:rPr>
            </w:pPr>
            <w:r>
              <w:rPr>
                <w:rFonts w:hint="eastAsia"/>
                <w:spacing w:val="1"/>
                <w:sz w:val="28"/>
                <w:szCs w:val="28"/>
                <w:lang w:eastAsia="zh-CN"/>
              </w:rPr>
              <w:t>居正华</w:t>
            </w:r>
          </w:p>
        </w:tc>
      </w:tr>
    </w:tbl>
    <w:p>
      <w:pPr>
        <w:keepNext w:val="0"/>
        <w:keepLines w:val="0"/>
        <w:pageBreakBefore w:val="0"/>
        <w:widowControl/>
        <w:kinsoku w:val="0"/>
        <w:wordWrap/>
        <w:overflowPunct/>
        <w:topLinePunct w:val="0"/>
        <w:autoSpaceDE w:val="0"/>
        <w:autoSpaceDN w:val="0"/>
        <w:bidi w:val="0"/>
        <w:adjustRightInd w:val="0"/>
        <w:snapToGrid w:val="0"/>
        <w:spacing w:before="120"/>
        <w:ind w:left="105" w:leftChars="50" w:right="113"/>
        <w:jc w:val="left"/>
        <w:textAlignment w:val="baseline"/>
        <w:rPr>
          <w:rFonts w:hint="eastAsia" w:eastAsiaTheme="minorEastAsia"/>
          <w:lang w:eastAsia="zh-CN"/>
        </w:rPr>
        <w:sectPr>
          <w:footerReference r:id="rId3" w:type="default"/>
          <w:pgSz w:w="12060" w:h="16950"/>
          <w:pgMar w:top="1246" w:right="478" w:bottom="220" w:left="1605" w:header="0" w:footer="0" w:gutter="0"/>
          <w:pgNumType w:start="1"/>
          <w:cols w:equalWidth="0" w:num="1">
            <w:col w:w="9977"/>
          </w:cols>
          <w:docGrid w:linePitch="286" w:charSpace="0"/>
        </w:sectPr>
      </w:pP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jc w:val="left"/>
        <w:textAlignment w:val="baseline"/>
        <w:rPr>
          <w:rFonts w:hint="eastAsia"/>
          <w:spacing w:val="-7"/>
          <w:sz w:val="17"/>
          <w:szCs w:val="17"/>
          <w:lang w:eastAsia="zh-CN"/>
        </w:rPr>
      </w:pPr>
    </w:p>
    <w:p>
      <w:pPr>
        <w:keepNext w:val="0"/>
        <w:keepLines w:val="0"/>
        <w:pageBreakBefore w:val="0"/>
        <w:widowControl/>
        <w:kinsoku w:val="0"/>
        <w:wordWrap/>
        <w:overflowPunct/>
        <w:topLinePunct w:val="0"/>
        <w:autoSpaceDE w:val="0"/>
        <w:autoSpaceDN w:val="0"/>
        <w:bidi w:val="0"/>
        <w:adjustRightInd w:val="0"/>
        <w:snapToGrid w:val="0"/>
        <w:spacing w:before="120" w:line="670" w:lineRule="exact"/>
        <w:ind w:left="105" w:leftChars="50" w:right="113"/>
        <w:jc w:val="left"/>
        <w:textAlignment w:val="baseline"/>
        <w:sectPr>
          <w:footerReference r:id="rId4" w:type="default"/>
          <w:pgSz w:w="11900" w:h="16840"/>
          <w:pgMar w:top="1299" w:right="250" w:bottom="170" w:left="1614"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20" w:line="680" w:lineRule="exact"/>
        <w:ind w:left="105" w:leftChars="50" w:right="113"/>
        <w:jc w:val="left"/>
        <w:textAlignment w:val="baseline"/>
        <w:rPr>
          <w:rFonts w:ascii="黑体" w:hAnsi="黑体" w:eastAsia="黑体" w:cs="黑体"/>
          <w:sz w:val="32"/>
          <w:szCs w:val="32"/>
        </w:rPr>
      </w:pPr>
      <w:bookmarkStart w:id="4" w:name="bookmark6"/>
      <w:bookmarkEnd w:id="4"/>
      <w:bookmarkStart w:id="5" w:name="bookmark7"/>
      <w:bookmarkEnd w:id="5"/>
      <w:bookmarkStart w:id="6" w:name="bookmark8"/>
      <w:bookmarkEnd w:id="6"/>
      <w:bookmarkStart w:id="7" w:name="bookmark5"/>
      <w:bookmarkEnd w:id="7"/>
      <w:r>
        <w:rPr>
          <w:rFonts w:ascii="黑体" w:hAnsi="黑体" w:eastAsia="黑体" w:cs="黑体"/>
          <w:b/>
          <w:bCs/>
          <w:spacing w:val="-18"/>
          <w:position w:val="27"/>
          <w:sz w:val="32"/>
          <w:szCs w:val="32"/>
        </w:rPr>
        <w:t>进修生培养计划：</w:t>
      </w:r>
    </w:p>
    <w:p>
      <w:pPr>
        <w:pStyle w:val="2"/>
        <w:keepNext w:val="0"/>
        <w:keepLines w:val="0"/>
        <w:pageBreakBefore w:val="0"/>
        <w:widowControl/>
        <w:kinsoku w:val="0"/>
        <w:wordWrap/>
        <w:overflowPunct/>
        <w:topLinePunct w:val="0"/>
        <w:autoSpaceDE w:val="0"/>
        <w:autoSpaceDN w:val="0"/>
        <w:bidi w:val="0"/>
        <w:adjustRightInd w:val="0"/>
        <w:snapToGrid w:val="0"/>
        <w:spacing w:before="120" w:line="218" w:lineRule="auto"/>
        <w:ind w:left="105" w:leftChars="50" w:right="113" w:firstLine="514" w:firstLineChars="200"/>
        <w:jc w:val="left"/>
        <w:textAlignment w:val="baseline"/>
      </w:pPr>
      <w:r>
        <w:rPr>
          <w:b/>
          <w:bCs/>
          <w:spacing w:val="-7"/>
        </w:rPr>
        <w:t>一</w:t>
      </w:r>
      <w:r>
        <w:rPr>
          <w:spacing w:val="-71"/>
        </w:rPr>
        <w:t xml:space="preserve"> </w:t>
      </w:r>
      <w:r>
        <w:rPr>
          <w:b/>
          <w:bCs/>
          <w:spacing w:val="-7"/>
        </w:rPr>
        <w:t>、</w:t>
      </w:r>
      <w:r>
        <w:rPr>
          <w:spacing w:val="69"/>
        </w:rPr>
        <w:t xml:space="preserve"> </w:t>
      </w:r>
      <w:r>
        <w:rPr>
          <w:b/>
          <w:bCs/>
          <w:spacing w:val="-7"/>
        </w:rPr>
        <w:t>入科教育</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lang w:eastAsia="zh-CN"/>
        </w:rPr>
      </w:pPr>
      <w:r>
        <w:rPr>
          <w:spacing w:val="-7"/>
          <w:position w:val="24"/>
          <w:lang w:eastAsia="zh-CN"/>
        </w:rPr>
        <w:t>1. 进行重要医疗法规的宣传教育，包括《执业医师法》、《医疗</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28" w:firstLineChars="200"/>
        <w:jc w:val="left"/>
        <w:textAlignment w:val="baseline"/>
        <w:rPr>
          <w:lang w:eastAsia="zh-CN"/>
        </w:rPr>
      </w:pPr>
      <w:r>
        <w:rPr>
          <w:spacing w:val="-3"/>
          <w:lang w:eastAsia="zh-CN"/>
        </w:rPr>
        <w:t>事故处理条例》及相关细则等；</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2. 科室的基本情况及规章制度(查对制度、危急值制度、医疗</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差错与安全不良事件报告及奖惩、培训、请假等事宜);</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3. 仪器设备的使用规范及注意事项；</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4. 医疗工作中医患关系的妥善处理及需要注意的问题；务必使进修医师能彻底理解相关法规，做到依法行医，加强自我</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保护，培养进修医师严格按照常规办事的概念。</w:t>
      </w: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firstLine="486" w:firstLineChars="200"/>
        <w:jc w:val="left"/>
        <w:textAlignment w:val="baseline"/>
        <w:outlineLvl w:val="0"/>
        <w:rPr>
          <w:lang w:eastAsia="zh-CN"/>
        </w:rPr>
      </w:pPr>
      <w:r>
        <w:rPr>
          <w:b/>
          <w:bCs/>
          <w:spacing w:val="-14"/>
          <w:lang w:eastAsia="zh-CN"/>
        </w:rPr>
        <w:t>二、</w:t>
      </w:r>
      <w:r>
        <w:rPr>
          <w:spacing w:val="92"/>
          <w:lang w:eastAsia="zh-CN"/>
        </w:rPr>
        <w:t xml:space="preserve"> </w:t>
      </w:r>
      <w:r>
        <w:rPr>
          <w:b/>
          <w:bCs/>
          <w:spacing w:val="-14"/>
          <w:lang w:eastAsia="zh-CN"/>
        </w:rPr>
        <w:t>考勤管理</w:t>
      </w:r>
    </w:p>
    <w:p>
      <w:pPr>
        <w:pStyle w:val="2"/>
        <w:keepNext w:val="0"/>
        <w:keepLines w:val="0"/>
        <w:pageBreakBefore w:val="0"/>
        <w:widowControl/>
        <w:kinsoku w:val="0"/>
        <w:wordWrap/>
        <w:overflowPunct/>
        <w:topLinePunct w:val="0"/>
        <w:autoSpaceDE w:val="0"/>
        <w:autoSpaceDN w:val="0"/>
        <w:bidi w:val="0"/>
        <w:adjustRightInd w:val="0"/>
        <w:snapToGrid w:val="0"/>
        <w:spacing w:before="120" w:line="417" w:lineRule="auto"/>
        <w:ind w:left="105" w:leftChars="50" w:right="113" w:firstLine="544" w:firstLineChars="200"/>
        <w:jc w:val="left"/>
        <w:textAlignment w:val="baseline"/>
        <w:rPr>
          <w:spacing w:val="1"/>
          <w:lang w:eastAsia="zh-CN"/>
        </w:rPr>
      </w:pPr>
      <w:r>
        <w:rPr>
          <w:spacing w:val="1"/>
          <w:lang w:eastAsia="zh-CN"/>
        </w:rPr>
        <w:t>科室</w:t>
      </w:r>
      <w:r>
        <w:rPr>
          <w:rFonts w:hint="eastAsia"/>
          <w:spacing w:val="1"/>
          <w:lang w:val="en-US" w:eastAsia="zh-CN"/>
        </w:rPr>
        <w:t>进修管理员</w:t>
      </w:r>
      <w:r>
        <w:rPr>
          <w:spacing w:val="1"/>
          <w:lang w:eastAsia="zh-CN"/>
        </w:rPr>
        <w:t>做好进修生登记工作。原则上</w:t>
      </w:r>
      <w:r>
        <w:rPr>
          <w:lang w:eastAsia="zh-CN"/>
        </w:rPr>
        <w:t>不允许中途回原单位</w:t>
      </w:r>
      <w:r>
        <w:rPr>
          <w:spacing w:val="1"/>
          <w:lang w:eastAsia="zh-CN"/>
        </w:rPr>
        <w:t>或家乡。特殊情况确有需要者，需填写进修人员培训考核记录手册中</w:t>
      </w:r>
      <w:r>
        <w:rPr>
          <w:spacing w:val="8"/>
          <w:lang w:eastAsia="zh-CN"/>
        </w:rPr>
        <w:t xml:space="preserve"> </w:t>
      </w:r>
      <w:r>
        <w:rPr>
          <w:spacing w:val="1"/>
          <w:lang w:eastAsia="zh-CN"/>
        </w:rPr>
        <w:t>的请假单，根据要求程序进行申请，并附有关证明文件之原件备案，</w:t>
      </w:r>
      <w:r>
        <w:rPr>
          <w:lang w:eastAsia="zh-CN"/>
        </w:rPr>
        <w:t>经同意后方可准假，并应在规定时间内返回。</w:t>
      </w:r>
      <w:r>
        <w:rPr>
          <w:spacing w:val="1"/>
          <w:lang w:eastAsia="zh-CN"/>
        </w:rPr>
        <w:t>进修生接受</w:t>
      </w:r>
      <w:r>
        <w:rPr>
          <w:rFonts w:hint="eastAsia"/>
          <w:spacing w:val="1"/>
          <w:lang w:val="en-US" w:eastAsia="zh-CN"/>
        </w:rPr>
        <w:t>教育处</w:t>
      </w:r>
      <w:r>
        <w:rPr>
          <w:spacing w:val="1"/>
          <w:lang w:eastAsia="zh-CN"/>
        </w:rPr>
        <w:t>查岗，凡未办理请假手续私自旷工超过两次的将报</w:t>
      </w:r>
      <w:r>
        <w:rPr>
          <w:rFonts w:hint="eastAsia"/>
          <w:spacing w:val="1"/>
          <w:lang w:val="en-US" w:eastAsia="zh-CN"/>
        </w:rPr>
        <w:t>科主任</w:t>
      </w:r>
      <w:r>
        <w:rPr>
          <w:spacing w:val="1"/>
          <w:lang w:eastAsia="zh-CN"/>
        </w:rPr>
        <w:t>，申请取消进修资格。</w:t>
      </w: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firstLine="462" w:firstLineChars="200"/>
        <w:jc w:val="left"/>
        <w:textAlignment w:val="baseline"/>
        <w:outlineLvl w:val="0"/>
        <w:rPr>
          <w:lang w:eastAsia="zh-CN"/>
        </w:rPr>
      </w:pPr>
      <w:r>
        <w:rPr>
          <w:b/>
          <w:bCs/>
          <w:spacing w:val="-20"/>
          <w:lang w:eastAsia="zh-CN"/>
        </w:rPr>
        <w:t>三、</w:t>
      </w:r>
      <w:r>
        <w:rPr>
          <w:spacing w:val="79"/>
          <w:lang w:eastAsia="zh-CN"/>
        </w:rPr>
        <w:t xml:space="preserve"> </w:t>
      </w:r>
      <w:r>
        <w:rPr>
          <w:b/>
          <w:bCs/>
          <w:spacing w:val="-20"/>
          <w:lang w:eastAsia="zh-CN"/>
        </w:rPr>
        <w:t>业务学习</w:t>
      </w:r>
    </w:p>
    <w:p>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left="105" w:leftChars="50" w:right="113" w:firstLine="512" w:firstLineChars="200"/>
        <w:jc w:val="left"/>
        <w:textAlignment w:val="baseline"/>
        <w:rPr>
          <w:spacing w:val="-7"/>
          <w:position w:val="24"/>
          <w:lang w:eastAsia="zh-CN"/>
        </w:rPr>
      </w:pPr>
      <w:r>
        <w:rPr>
          <w:spacing w:val="-7"/>
          <w:position w:val="24"/>
          <w:lang w:eastAsia="zh-CN"/>
        </w:rPr>
        <w:t>1. 每周一次，举办由科主任、副主任医师等主讲的进修医师讲座。内容包括本专业的理论、技术及最新进展。</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rFonts w:hint="default"/>
          <w:spacing w:val="-7"/>
          <w:position w:val="24"/>
          <w:lang w:val="en-US" w:eastAsia="zh-CN"/>
        </w:rPr>
      </w:pPr>
      <w:bookmarkStart w:id="8" w:name="bookmark9"/>
      <w:bookmarkEnd w:id="8"/>
      <w:bookmarkStart w:id="9" w:name="bookmark11"/>
      <w:bookmarkEnd w:id="9"/>
      <w:bookmarkStart w:id="10" w:name="bookmark10"/>
      <w:bookmarkEnd w:id="10"/>
      <w:r>
        <w:rPr>
          <w:spacing w:val="-7"/>
          <w:position w:val="24"/>
          <w:lang w:eastAsia="zh-CN"/>
        </w:rPr>
        <w:t>2. 每周安排科内高年资主治</w:t>
      </w:r>
      <w:r>
        <w:rPr>
          <w:rFonts w:hint="eastAsia"/>
          <w:spacing w:val="-7"/>
          <w:position w:val="24"/>
          <w:lang w:eastAsia="zh-CN"/>
        </w:rPr>
        <w:t>以上</w:t>
      </w:r>
      <w:r>
        <w:rPr>
          <w:spacing w:val="-7"/>
          <w:position w:val="24"/>
          <w:lang w:eastAsia="zh-CN"/>
        </w:rPr>
        <w:t>医师组织新知识介绍及疑难病例</w:t>
      </w:r>
      <w:r>
        <w:rPr>
          <w:rFonts w:hint="eastAsia"/>
          <w:spacing w:val="-7"/>
          <w:position w:val="24"/>
          <w:lang w:val="en-US" w:eastAsia="zh-CN"/>
        </w:rPr>
        <w:t>讨论。</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rFonts w:hint="default"/>
          <w:spacing w:val="-7"/>
          <w:position w:val="24"/>
          <w:lang w:val="en-US" w:eastAsia="zh-CN"/>
        </w:rPr>
      </w:pPr>
      <w:r>
        <w:rPr>
          <w:spacing w:val="-7"/>
          <w:position w:val="24"/>
          <w:lang w:eastAsia="zh-CN"/>
        </w:rPr>
        <w:t xml:space="preserve">3. </w:t>
      </w:r>
      <w:r>
        <w:rPr>
          <w:rFonts w:hint="eastAsia"/>
          <w:spacing w:val="-7"/>
          <w:position w:val="24"/>
          <w:lang w:val="en-US" w:eastAsia="zh-CN"/>
        </w:rPr>
        <w:t>每周二及周五上午参加本院及上海复旦泌尿肿瘤MDT讨论。</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rFonts w:hint="eastAsia"/>
          <w:spacing w:val="-7"/>
          <w:position w:val="24"/>
          <w:lang w:val="en-US" w:eastAsia="zh-CN"/>
        </w:rPr>
        <w:t>4.</w:t>
      </w:r>
      <w:r>
        <w:rPr>
          <w:spacing w:val="-7"/>
          <w:position w:val="24"/>
          <w:lang w:eastAsia="zh-CN"/>
        </w:rPr>
        <w:t>各亚专业组带教老师结合病种，自行安排小讲课。</w:t>
      </w: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firstLine="458" w:firstLineChars="200"/>
        <w:jc w:val="left"/>
        <w:textAlignment w:val="baseline"/>
        <w:outlineLvl w:val="0"/>
        <w:rPr>
          <w:sz w:val="26"/>
          <w:szCs w:val="26"/>
          <w:lang w:eastAsia="zh-CN"/>
        </w:rPr>
      </w:pPr>
      <w:r>
        <w:rPr>
          <w:b/>
          <w:bCs/>
          <w:spacing w:val="-16"/>
          <w:sz w:val="26"/>
          <w:szCs w:val="26"/>
          <w:lang w:eastAsia="zh-CN"/>
        </w:rPr>
        <w:t>四、</w:t>
      </w:r>
      <w:r>
        <w:rPr>
          <w:spacing w:val="91"/>
          <w:sz w:val="26"/>
          <w:szCs w:val="26"/>
          <w:lang w:eastAsia="zh-CN"/>
        </w:rPr>
        <w:t xml:space="preserve"> </w:t>
      </w:r>
      <w:r>
        <w:rPr>
          <w:b/>
          <w:bCs/>
          <w:spacing w:val="-16"/>
          <w:sz w:val="26"/>
          <w:szCs w:val="26"/>
          <w:lang w:eastAsia="zh-CN"/>
        </w:rPr>
        <w:t>操作示教</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1、 完成日常工作的前提下，尽量创造条件让进修医生独立操作检查病人，老师复核讲解。</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rFonts w:hint="eastAsia"/>
          <w:spacing w:val="-7"/>
          <w:position w:val="24"/>
          <w:lang w:eastAsia="zh-CN"/>
        </w:rPr>
      </w:pPr>
      <w:r>
        <w:rPr>
          <w:rFonts w:hint="eastAsia"/>
          <w:spacing w:val="-7"/>
          <w:position w:val="24"/>
          <w:lang w:val="en-US" w:eastAsia="zh-CN"/>
        </w:rPr>
        <w:t>2、</w:t>
      </w:r>
      <w:r>
        <w:rPr>
          <w:spacing w:val="-7"/>
          <w:position w:val="24"/>
          <w:lang w:eastAsia="zh-CN"/>
        </w:rPr>
        <w:t>尽量根据进修医生的需求，安排</w:t>
      </w:r>
      <w:r>
        <w:rPr>
          <w:rFonts w:hint="eastAsia"/>
          <w:spacing w:val="-7"/>
          <w:position w:val="24"/>
          <w:lang w:eastAsia="zh-CN"/>
        </w:rPr>
        <w:t>新病人</w:t>
      </w:r>
      <w:r>
        <w:rPr>
          <w:spacing w:val="-7"/>
          <w:position w:val="24"/>
          <w:lang w:eastAsia="zh-CN"/>
        </w:rPr>
        <w:t>的</w:t>
      </w:r>
      <w:r>
        <w:rPr>
          <w:rFonts w:hint="eastAsia"/>
          <w:spacing w:val="-7"/>
          <w:position w:val="24"/>
          <w:lang w:eastAsia="zh-CN"/>
        </w:rPr>
        <w:t>手术方案制定及充当助手跟台手术、术后病人管理工作。</w:t>
      </w: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firstLine="466" w:firstLineChars="200"/>
        <w:jc w:val="left"/>
        <w:textAlignment w:val="baseline"/>
        <w:outlineLvl w:val="0"/>
        <w:rPr>
          <w:sz w:val="26"/>
          <w:szCs w:val="26"/>
          <w:lang w:eastAsia="zh-CN"/>
        </w:rPr>
      </w:pPr>
      <w:r>
        <w:rPr>
          <w:b/>
          <w:bCs/>
          <w:spacing w:val="-14"/>
          <w:sz w:val="26"/>
          <w:szCs w:val="26"/>
          <w:lang w:eastAsia="zh-CN"/>
        </w:rPr>
        <w:t>五、</w:t>
      </w:r>
      <w:r>
        <w:rPr>
          <w:spacing w:val="60"/>
          <w:sz w:val="26"/>
          <w:szCs w:val="26"/>
          <w:lang w:eastAsia="zh-CN"/>
        </w:rPr>
        <w:t xml:space="preserve"> </w:t>
      </w:r>
      <w:r>
        <w:rPr>
          <w:b/>
          <w:bCs/>
          <w:spacing w:val="-14"/>
          <w:sz w:val="26"/>
          <w:szCs w:val="26"/>
          <w:lang w:eastAsia="zh-CN"/>
        </w:rPr>
        <w:t>继续教育</w:t>
      </w:r>
      <w:r>
        <w:rPr>
          <w:rFonts w:hint="eastAsia"/>
          <w:b/>
          <w:bCs/>
          <w:spacing w:val="-14"/>
          <w:sz w:val="26"/>
          <w:szCs w:val="26"/>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1. 鼓励进修医师参加或旁听医院举办的各种继续教育学习班</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2. 向进修医师推送</w:t>
      </w:r>
      <w:r>
        <w:rPr>
          <w:rFonts w:hint="eastAsia"/>
          <w:spacing w:val="-7"/>
          <w:position w:val="24"/>
          <w:lang w:eastAsia="zh-CN"/>
        </w:rPr>
        <w:t>泌尿肿瘤</w:t>
      </w:r>
      <w:r>
        <w:rPr>
          <w:spacing w:val="-7"/>
          <w:position w:val="24"/>
          <w:lang w:eastAsia="zh-CN"/>
        </w:rPr>
        <w:t>各学习班的教材；</w:t>
      </w: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left="-105" w:leftChars="-50" w:right="113" w:firstLine="458" w:firstLineChars="200"/>
        <w:jc w:val="left"/>
        <w:textAlignment w:val="baseline"/>
        <w:outlineLvl w:val="0"/>
        <w:rPr>
          <w:sz w:val="26"/>
          <w:szCs w:val="26"/>
          <w:lang w:eastAsia="zh-CN"/>
        </w:rPr>
      </w:pPr>
      <w:r>
        <w:rPr>
          <w:b/>
          <w:bCs/>
          <w:spacing w:val="-16"/>
          <w:sz w:val="26"/>
          <w:szCs w:val="26"/>
          <w:lang w:eastAsia="zh-CN"/>
        </w:rPr>
        <w:t>六、</w:t>
      </w:r>
      <w:r>
        <w:rPr>
          <w:spacing w:val="91"/>
          <w:sz w:val="26"/>
          <w:szCs w:val="26"/>
          <w:lang w:eastAsia="zh-CN"/>
        </w:rPr>
        <w:t xml:space="preserve"> </w:t>
      </w:r>
      <w:r>
        <w:rPr>
          <w:b/>
          <w:bCs/>
          <w:spacing w:val="-16"/>
          <w:sz w:val="26"/>
          <w:szCs w:val="26"/>
          <w:lang w:eastAsia="zh-CN"/>
        </w:rPr>
        <w:t>考核考评</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1. 进修生结束前按照</w:t>
      </w:r>
      <w:r>
        <w:rPr>
          <w:rFonts w:hint="eastAsia"/>
          <w:spacing w:val="-7"/>
          <w:position w:val="24"/>
          <w:lang w:val="en-US" w:eastAsia="zh-CN"/>
        </w:rPr>
        <w:t>教育处</w:t>
      </w:r>
      <w:r>
        <w:rPr>
          <w:spacing w:val="-7"/>
          <w:position w:val="24"/>
          <w:lang w:eastAsia="zh-CN"/>
        </w:rPr>
        <w:t>要求，填写好进修生考核记录手册；</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2. 进修结束时，由</w:t>
      </w:r>
      <w:r>
        <w:rPr>
          <w:rFonts w:hint="eastAsia"/>
          <w:spacing w:val="-7"/>
          <w:position w:val="24"/>
          <w:lang w:val="en-US" w:eastAsia="zh-CN"/>
        </w:rPr>
        <w:t>带教科室安排进行</w:t>
      </w:r>
      <w:r>
        <w:rPr>
          <w:spacing w:val="-7"/>
          <w:position w:val="24"/>
          <w:lang w:eastAsia="zh-CN"/>
        </w:rPr>
        <w:t>理论考试；</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3. 由科主任任命考核老师，对进修医师进行技能操作考核，保留</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试卷原件，试卷上须有考核老师评卷痕迹、分数，签名并注明日期；</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4. 进修生进修结束后应对其所学内容进行概括总结、并制作 PPT</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于科内演讲。</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spacing w:val="-7"/>
          <w:position w:val="24"/>
          <w:lang w:eastAsia="zh-CN"/>
        </w:rPr>
      </w:pPr>
      <w:r>
        <w:rPr>
          <w:spacing w:val="-7"/>
          <w:position w:val="24"/>
          <w:lang w:eastAsia="zh-CN"/>
        </w:rPr>
        <w:t>5. 由科主任及带教医师对进修医师平时的职业道德、劳动纪律、</w:t>
      </w:r>
    </w:p>
    <w:p>
      <w:pPr>
        <w:pStyle w:val="2"/>
        <w:keepNext w:val="0"/>
        <w:keepLines w:val="0"/>
        <w:pageBreakBefore w:val="0"/>
        <w:widowControl/>
        <w:kinsoku w:val="0"/>
        <w:wordWrap/>
        <w:overflowPunct/>
        <w:topLinePunct w:val="0"/>
        <w:autoSpaceDE w:val="0"/>
        <w:autoSpaceDN w:val="0"/>
        <w:bidi w:val="0"/>
        <w:adjustRightInd w:val="0"/>
        <w:snapToGrid w:val="0"/>
        <w:spacing w:before="120" w:line="240" w:lineRule="auto"/>
        <w:ind w:left="-105" w:leftChars="-50" w:right="113" w:firstLine="512" w:firstLineChars="200"/>
        <w:jc w:val="left"/>
        <w:textAlignment w:val="baseline"/>
        <w:rPr>
          <w:rFonts w:hint="eastAsia"/>
          <w:b/>
          <w:bCs/>
          <w:sz w:val="32"/>
          <w:szCs w:val="32"/>
          <w:lang w:eastAsia="zh-CN"/>
        </w:rPr>
      </w:pPr>
      <w:r>
        <w:rPr>
          <w:spacing w:val="-7"/>
          <w:position w:val="24"/>
          <w:lang w:eastAsia="zh-CN"/>
        </w:rPr>
        <w:t>临床操作能力、病史书写作出评分。</w:t>
      </w:r>
    </w:p>
    <w:sectPr>
      <w:type w:val="continuous"/>
      <w:pgSz w:w="11900" w:h="16840"/>
      <w:pgMar w:top="1127" w:right="320" w:bottom="256" w:left="1785" w:header="0" w:footer="0" w:gutter="0"/>
      <w:cols w:equalWidth="0" w:num="1">
        <w:col w:w="97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M2YyOWFmOTVjZWM5MGQ1NGUzMDM4MWY5NDI3YWYifQ=="/>
  </w:docVars>
  <w:rsids>
    <w:rsidRoot w:val="004F7EF1"/>
    <w:rsid w:val="00011F6F"/>
    <w:rsid w:val="00250260"/>
    <w:rsid w:val="002A307C"/>
    <w:rsid w:val="003438DA"/>
    <w:rsid w:val="00345921"/>
    <w:rsid w:val="0047448B"/>
    <w:rsid w:val="004F7EF1"/>
    <w:rsid w:val="00590003"/>
    <w:rsid w:val="00A11449"/>
    <w:rsid w:val="00CF4F06"/>
    <w:rsid w:val="01C506B1"/>
    <w:rsid w:val="04904FA7"/>
    <w:rsid w:val="073F77E1"/>
    <w:rsid w:val="098B0432"/>
    <w:rsid w:val="0FED59A3"/>
    <w:rsid w:val="124A3B2D"/>
    <w:rsid w:val="1293358F"/>
    <w:rsid w:val="1711641B"/>
    <w:rsid w:val="1C9D24FF"/>
    <w:rsid w:val="21076199"/>
    <w:rsid w:val="30760C45"/>
    <w:rsid w:val="322C1F03"/>
    <w:rsid w:val="337C2A16"/>
    <w:rsid w:val="34A246FE"/>
    <w:rsid w:val="357C0AAC"/>
    <w:rsid w:val="35812566"/>
    <w:rsid w:val="3B765F9D"/>
    <w:rsid w:val="3C7D0AC3"/>
    <w:rsid w:val="3F6A406B"/>
    <w:rsid w:val="40A52D69"/>
    <w:rsid w:val="427A2817"/>
    <w:rsid w:val="47FB1D04"/>
    <w:rsid w:val="521A5328"/>
    <w:rsid w:val="530323B4"/>
    <w:rsid w:val="53E87EF8"/>
    <w:rsid w:val="561623FF"/>
    <w:rsid w:val="5753390A"/>
    <w:rsid w:val="5A952541"/>
    <w:rsid w:val="634E0BA1"/>
    <w:rsid w:val="650E70C3"/>
    <w:rsid w:val="664803B2"/>
    <w:rsid w:val="67766334"/>
    <w:rsid w:val="680B5B3B"/>
    <w:rsid w:val="71BE4BDA"/>
    <w:rsid w:val="71CE0991"/>
    <w:rsid w:val="73B452D9"/>
    <w:rsid w:val="73FC0A2E"/>
    <w:rsid w:val="7A6510DB"/>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7"/>
      <w:szCs w:val="27"/>
    </w:rPr>
  </w:style>
  <w:style w:type="paragraph" w:styleId="3">
    <w:name w:val="footer"/>
    <w:basedOn w:val="1"/>
    <w:link w:val="10"/>
    <w:autoRedefine/>
    <w:qFormat/>
    <w:uiPriority w:val="99"/>
    <w:pPr>
      <w:tabs>
        <w:tab w:val="center" w:pos="4153"/>
        <w:tab w:val="right" w:pos="8306"/>
      </w:tabs>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7">
    <w:name w:val="Strong"/>
    <w:basedOn w:val="6"/>
    <w:autoRedefine/>
    <w:qFormat/>
    <w:uiPriority w:val="0"/>
    <w:rPr>
      <w:b/>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0"/>
      <w:szCs w:val="20"/>
    </w:rPr>
  </w:style>
  <w:style w:type="character" w:customStyle="1" w:styleId="10">
    <w:name w:val="页脚 字符"/>
    <w:basedOn w:val="6"/>
    <w:link w:val="3"/>
    <w:autoRedefine/>
    <w:qFormat/>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469</Words>
  <Characters>2679</Characters>
  <Lines>22</Lines>
  <Paragraphs>6</Paragraphs>
  <TotalTime>10</TotalTime>
  <ScaleCrop>false</ScaleCrop>
  <LinksUpToDate>false</LinksUpToDate>
  <CharactersWithSpaces>3142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2024-03-12T15:24:00Z</dcterms:created>
  <dc:creator>Kingsoft-PDF</dc:creator>
  <cp:lastModifiedBy>莫莫</cp:lastModifiedBy>
  <dcterms:modified xsi:type="dcterms:W3CDTF">2024-05-06T01:31:22Z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2024-02-28T16:23:12Z</vt:filetime>
  </property>
  <property fmtid="{D5CDD505-2E9C-101B-9397-08002B2CF9AE}" pid="4" name="UsrData">
    <vt:lpwstr>65deed6aa5d5df001fda7a15wl</vt:lpwstr>
  </property>
  <property fmtid="{D5CDD505-2E9C-101B-9397-08002B2CF9AE}" pid="5" name="KSOProductBuildVer">
    <vt:lpwstr>2052-12.1.0.16417</vt:lpwstr>
  </property>
  <property fmtid="{D5CDD505-2E9C-101B-9397-08002B2CF9AE}" pid="6" name="ICV">
    <vt:lpwstr>389A122E1E134E5587AEA379E3087811_12</vt:lpwstr>
  </property>
</Properties>
</file>