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7" w:lineRule="auto"/>
        <w:rPr>
          <w:rFonts w:ascii="Arial"/>
          <w:sz w:val="21"/>
        </w:rPr>
      </w:pPr>
    </w:p>
    <w:p>
      <w:pPr>
        <w:spacing w:line="245" w:lineRule="auto"/>
        <w:rPr>
          <w:rFonts w:hint="eastAsia" w:ascii="Arial" w:eastAsia="宋体"/>
          <w:sz w:val="21"/>
          <w:lang w:val="en-US" w:eastAsia="zh-CN"/>
        </w:rPr>
      </w:pPr>
      <w:r>
        <w:rPr>
          <w:rFonts w:hint="eastAsia" w:eastAsia="宋体"/>
          <w:sz w:val="21"/>
          <w:lang w:val="en-US" w:eastAsia="zh-CN"/>
        </w:rPr>
        <w:t xml:space="preserve"> </w:t>
      </w:r>
    </w:p>
    <w:p>
      <w:pPr>
        <w:pStyle w:val="2"/>
        <w:spacing w:before="59" w:line="219" w:lineRule="auto"/>
        <w:rPr>
          <w:b/>
          <w:bCs/>
          <w:spacing w:val="-23"/>
          <w:sz w:val="30"/>
          <w:szCs w:val="30"/>
        </w:rPr>
      </w:pPr>
      <w:bookmarkStart w:id="0" w:name="bookmark1"/>
      <w:bookmarkEnd w:id="0"/>
    </w:p>
    <w:p>
      <w:pPr>
        <w:pStyle w:val="2"/>
        <w:spacing w:before="107" w:line="219" w:lineRule="auto"/>
        <w:ind w:firstLine="1470" w:firstLineChars="400"/>
        <w:jc w:val="both"/>
        <w:outlineLvl w:val="0"/>
        <w:rPr>
          <w:b/>
          <w:bCs/>
          <w:spacing w:val="3"/>
          <w:sz w:val="36"/>
          <w:szCs w:val="36"/>
        </w:rPr>
      </w:pPr>
      <w:r>
        <w:rPr>
          <w:rFonts w:hint="eastAsia" w:ascii="Times New Roman" w:hAnsi="Times New Roman" w:cs="Times New Roman"/>
          <w:b/>
          <w:bCs/>
          <w:spacing w:val="3"/>
          <w:sz w:val="36"/>
          <w:szCs w:val="36"/>
          <w:lang w:val="en-US" w:eastAsia="zh-CN"/>
        </w:rPr>
        <w:t>2024</w:t>
      </w:r>
      <w:r>
        <w:rPr>
          <w:rFonts w:ascii="Times New Roman" w:hAnsi="Times New Roman" w:eastAsia="Times New Roman" w:cs="Times New Roman"/>
          <w:b/>
          <w:bCs/>
          <w:spacing w:val="3"/>
          <w:sz w:val="36"/>
          <w:szCs w:val="36"/>
        </w:rPr>
        <w:t xml:space="preserve"> </w:t>
      </w:r>
      <w:r>
        <w:rPr>
          <w:b/>
          <w:bCs/>
          <w:spacing w:val="3"/>
          <w:sz w:val="36"/>
          <w:szCs w:val="36"/>
        </w:rPr>
        <w:t>年度</w:t>
      </w:r>
      <w:r>
        <w:rPr>
          <w:rFonts w:hint="eastAsia"/>
          <w:b/>
          <w:bCs/>
          <w:spacing w:val="3"/>
          <w:sz w:val="36"/>
          <w:szCs w:val="36"/>
          <w:lang w:val="en-US" w:eastAsia="zh-CN"/>
        </w:rPr>
        <w:t>腹部放疗科</w:t>
      </w:r>
      <w:r>
        <w:rPr>
          <w:b/>
          <w:bCs/>
          <w:spacing w:val="3"/>
          <w:sz w:val="36"/>
          <w:szCs w:val="36"/>
        </w:rPr>
        <w:t>进修生培养计划</w:t>
      </w:r>
    </w:p>
    <w:p>
      <w:pPr>
        <w:pStyle w:val="2"/>
        <w:spacing w:before="107" w:line="219" w:lineRule="auto"/>
        <w:ind w:firstLine="1470" w:firstLineChars="400"/>
        <w:jc w:val="both"/>
        <w:outlineLvl w:val="0"/>
        <w:rPr>
          <w:b/>
          <w:bCs/>
          <w:spacing w:val="3"/>
          <w:sz w:val="36"/>
          <w:szCs w:val="36"/>
        </w:rPr>
      </w:pPr>
    </w:p>
    <w:p>
      <w:pPr>
        <w:pStyle w:val="2"/>
        <w:spacing w:before="107" w:line="219" w:lineRule="auto"/>
        <w:ind w:firstLine="1021" w:firstLineChars="400"/>
        <w:jc w:val="both"/>
        <w:outlineLvl w:val="0"/>
        <w:rPr>
          <w:sz w:val="30"/>
          <w:szCs w:val="30"/>
        </w:rPr>
      </w:pPr>
      <w:r>
        <w:rPr>
          <w:b/>
          <w:bCs/>
          <w:spacing w:val="-23"/>
          <w:sz w:val="30"/>
          <w:szCs w:val="30"/>
        </w:rPr>
        <w:t>科室特色：</w:t>
      </w:r>
    </w:p>
    <w:p>
      <w:pPr>
        <w:pStyle w:val="2"/>
        <w:spacing w:before="235" w:line="410" w:lineRule="auto"/>
        <w:ind w:left="528" w:right="1280" w:firstLine="560"/>
        <w:rPr>
          <w:rFonts w:hint="eastAsia"/>
          <w:spacing w:val="2"/>
        </w:rPr>
      </w:pPr>
      <w:r>
        <w:rPr>
          <w:spacing w:val="2"/>
        </w:rPr>
        <w:t>腹部肿瘤放疗科是福建省最早成立的腹部、乳腺、神经肿瘤放疗亚专科。现有床位</w:t>
      </w:r>
      <w:r>
        <w:rPr>
          <w:rFonts w:hint="eastAsia"/>
          <w:spacing w:val="2"/>
          <w:lang w:val="en-US"/>
        </w:rPr>
        <w:t>57</w:t>
      </w:r>
      <w:r>
        <w:rPr>
          <w:rFonts w:hint="eastAsia"/>
          <w:spacing w:val="2"/>
        </w:rPr>
        <w:t>张，年收治病人</w:t>
      </w:r>
      <w:r>
        <w:rPr>
          <w:rFonts w:hint="eastAsia"/>
          <w:spacing w:val="2"/>
          <w:lang w:val="en-US"/>
        </w:rPr>
        <w:t>3000</w:t>
      </w:r>
      <w:r>
        <w:rPr>
          <w:rFonts w:hint="eastAsia"/>
          <w:spacing w:val="2"/>
        </w:rPr>
        <w:t>余人次，现有主任医师</w:t>
      </w:r>
      <w:r>
        <w:rPr>
          <w:rFonts w:hint="eastAsia"/>
          <w:spacing w:val="2"/>
          <w:lang w:val="en-US" w:eastAsia="zh-CN"/>
        </w:rPr>
        <w:t>7</w:t>
      </w:r>
      <w:r>
        <w:rPr>
          <w:rFonts w:hint="eastAsia"/>
          <w:spacing w:val="2"/>
        </w:rPr>
        <w:t>人，副主任医师</w:t>
      </w:r>
      <w:r>
        <w:rPr>
          <w:rFonts w:hint="eastAsia"/>
          <w:spacing w:val="2"/>
          <w:lang w:val="en-US" w:eastAsia="zh-CN"/>
        </w:rPr>
        <w:t>5</w:t>
      </w:r>
      <w:r>
        <w:rPr>
          <w:rFonts w:hint="eastAsia"/>
          <w:spacing w:val="2"/>
        </w:rPr>
        <w:t>人；博士学历</w:t>
      </w:r>
      <w:r>
        <w:rPr>
          <w:rFonts w:hint="eastAsia"/>
          <w:spacing w:val="2"/>
          <w:lang w:val="en-US" w:eastAsia="zh-CN"/>
        </w:rPr>
        <w:t>6</w:t>
      </w:r>
      <w:r>
        <w:rPr>
          <w:rFonts w:hint="eastAsia"/>
          <w:spacing w:val="2"/>
        </w:rPr>
        <w:t>人，硕士学历</w:t>
      </w:r>
      <w:r>
        <w:rPr>
          <w:rFonts w:hint="eastAsia"/>
          <w:spacing w:val="2"/>
          <w:lang w:val="en-US"/>
        </w:rPr>
        <w:t>3</w:t>
      </w:r>
      <w:r>
        <w:rPr>
          <w:rFonts w:hint="eastAsia"/>
          <w:spacing w:val="2"/>
        </w:rPr>
        <w:t>人；留学归国人员</w:t>
      </w:r>
      <w:r>
        <w:rPr>
          <w:rFonts w:hint="eastAsia"/>
          <w:spacing w:val="2"/>
          <w:lang w:val="en-US"/>
        </w:rPr>
        <w:t>3</w:t>
      </w:r>
      <w:r>
        <w:rPr>
          <w:rFonts w:hint="eastAsia"/>
          <w:spacing w:val="2"/>
        </w:rPr>
        <w:t>人，博士后</w:t>
      </w:r>
      <w:r>
        <w:rPr>
          <w:rFonts w:hint="eastAsia"/>
          <w:spacing w:val="2"/>
          <w:lang w:val="en-US"/>
        </w:rPr>
        <w:t>2</w:t>
      </w:r>
      <w:r>
        <w:rPr>
          <w:rFonts w:hint="eastAsia"/>
          <w:spacing w:val="2"/>
        </w:rPr>
        <w:t>人；博士生导师</w:t>
      </w:r>
      <w:r>
        <w:rPr>
          <w:rFonts w:hint="eastAsia"/>
          <w:spacing w:val="2"/>
          <w:lang w:val="en-US"/>
        </w:rPr>
        <w:t>1</w:t>
      </w:r>
      <w:r>
        <w:rPr>
          <w:rFonts w:hint="eastAsia"/>
          <w:spacing w:val="2"/>
        </w:rPr>
        <w:t>人，硕士生导师</w:t>
      </w:r>
      <w:r>
        <w:rPr>
          <w:rFonts w:hint="eastAsia"/>
          <w:spacing w:val="2"/>
          <w:lang w:val="en-US"/>
        </w:rPr>
        <w:t>3</w:t>
      </w:r>
      <w:r>
        <w:rPr>
          <w:rFonts w:hint="eastAsia"/>
          <w:spacing w:val="2"/>
        </w:rPr>
        <w:t>人。科室多名专家分别担任中国临床肿瘤学会转化医学专委会副主任委员、中国抗癌协会神经肿瘤分会常委及胶质瘤学组副组长、中国老年学会放疗分委会副主任委员、中华医学会肿瘤放射治疗分会委员、福建省抗癌协会放射肿瘤学专委会主任委员、福建省医学会肿瘤放射治疗分会主任委员及腹部放疗学组组长、中华医学会肿瘤学分会肿瘤诊疗规范化推广委员会委员、中国临床肿瘤学会黑色素瘤专家委员会委员及《中华放射医学与防护杂志》、《中华放射肿瘤学杂志》、《肿瘤学杂志》、《</w:t>
      </w:r>
      <w:r>
        <w:rPr>
          <w:rFonts w:hint="eastAsia"/>
          <w:spacing w:val="2"/>
          <w:lang w:val="en-US"/>
        </w:rPr>
        <w:t>World Journal of Hepatology</w:t>
      </w:r>
      <w:r>
        <w:rPr>
          <w:rFonts w:hint="eastAsia"/>
          <w:spacing w:val="2"/>
        </w:rPr>
        <w:t>》等学术期刊编委。主要开展腹部肿瘤、乳腺癌、淋巴瘤、脑瘤的放射治疗，分为胃肠肿瘤放疗、肝胆胰肿瘤放疗、前列腺等泌尿肿瘤放疗、神经肿瘤放疗、乳腺癌放疗、淋巴瘤及儿童肿瘤放疗共六个研究方向；对直肠癌、胃癌、肝癌、胰腺癌、前列腺癌、乳腺癌、淋巴瘤和脑肿瘤的放射治疗及综合治疗积累了丰富的经验。科室在福建省率先开展腹部肿瘤三维放射治疗</w:t>
      </w:r>
      <w:r>
        <w:rPr>
          <w:rFonts w:hint="eastAsia"/>
          <w:spacing w:val="2"/>
          <w:lang w:val="en-US"/>
        </w:rPr>
        <w:t>(3DCRT)</w:t>
      </w:r>
      <w:r>
        <w:rPr>
          <w:rFonts w:hint="eastAsia"/>
          <w:spacing w:val="2"/>
        </w:rPr>
        <w:t>、调强放疗（</w:t>
      </w:r>
      <w:r>
        <w:rPr>
          <w:rFonts w:hint="eastAsia"/>
          <w:spacing w:val="2"/>
          <w:lang w:val="en-US"/>
        </w:rPr>
        <w:t>IMRT</w:t>
      </w:r>
      <w:r>
        <w:rPr>
          <w:rFonts w:hint="eastAsia"/>
          <w:spacing w:val="2"/>
        </w:rPr>
        <w:t>）、影像引导的放疗（</w:t>
      </w:r>
      <w:r>
        <w:rPr>
          <w:rFonts w:hint="eastAsia"/>
          <w:spacing w:val="2"/>
          <w:lang w:val="en-US"/>
        </w:rPr>
        <w:t>IGRT </w:t>
      </w:r>
      <w:r>
        <w:rPr>
          <w:rFonts w:hint="eastAsia"/>
          <w:spacing w:val="2"/>
        </w:rPr>
        <w:t>和</w:t>
      </w:r>
      <w:r>
        <w:rPr>
          <w:rFonts w:hint="eastAsia"/>
          <w:spacing w:val="2"/>
          <w:lang w:val="en-US"/>
        </w:rPr>
        <w:t>VMAT</w:t>
      </w:r>
      <w:r>
        <w:rPr>
          <w:rFonts w:hint="eastAsia"/>
          <w:spacing w:val="2"/>
        </w:rPr>
        <w:t>）、螺旋断层放疗（</w:t>
      </w:r>
      <w:r>
        <w:rPr>
          <w:rFonts w:hint="eastAsia"/>
          <w:spacing w:val="2"/>
          <w:lang w:val="en-US"/>
        </w:rPr>
        <w:t>TOMO</w:t>
      </w:r>
      <w:r>
        <w:rPr>
          <w:rFonts w:hint="eastAsia"/>
          <w:spacing w:val="2"/>
        </w:rPr>
        <w:t>）、生物靶区引导的放疗（</w:t>
      </w:r>
      <w:r>
        <w:rPr>
          <w:rFonts w:hint="eastAsia"/>
          <w:spacing w:val="2"/>
          <w:lang w:val="en-US"/>
        </w:rPr>
        <w:t>BGRT</w:t>
      </w:r>
      <w:r>
        <w:rPr>
          <w:rFonts w:hint="eastAsia"/>
          <w:spacing w:val="2"/>
        </w:rPr>
        <w:t>）、立体定向放疗（</w:t>
      </w:r>
      <w:r>
        <w:rPr>
          <w:rFonts w:hint="eastAsia"/>
          <w:spacing w:val="2"/>
          <w:lang w:val="en-US"/>
        </w:rPr>
        <w:t>SBRT</w:t>
      </w:r>
      <w:r>
        <w:rPr>
          <w:rFonts w:hint="eastAsia"/>
          <w:spacing w:val="2"/>
        </w:rPr>
        <w:t>）、高剂量率后装近距离放射治疗技术，其中</w:t>
      </w:r>
      <w:r>
        <w:rPr>
          <w:rFonts w:hint="eastAsia"/>
          <w:spacing w:val="2"/>
          <w:lang w:val="en-US"/>
        </w:rPr>
        <w:t>6D</w:t>
      </w:r>
      <w:r>
        <w:rPr>
          <w:rFonts w:hint="eastAsia"/>
          <w:spacing w:val="2"/>
        </w:rPr>
        <w:t>治疗床引导的高精放疗是亚洲地区首先开展。直肠癌、胃癌的术前或术后同步放化疗、乳腺癌保乳术后放疗、全乳切除术后放疗、鼻腔</w:t>
      </w:r>
      <w:r>
        <w:rPr>
          <w:rFonts w:hint="eastAsia"/>
          <w:spacing w:val="2"/>
          <w:lang w:val="en-US"/>
        </w:rPr>
        <w:t>NK/T</w:t>
      </w:r>
      <w:r>
        <w:rPr>
          <w:rFonts w:hint="eastAsia"/>
          <w:spacing w:val="2"/>
        </w:rPr>
        <w:t>淋巴瘤放射治疗、脑胶质瘤放化疗、髓母细胞瘤术后放疗的疗效达到国内先进水平。</w:t>
      </w:r>
    </w:p>
    <w:p>
      <w:pPr>
        <w:pStyle w:val="2"/>
        <w:spacing w:before="235" w:line="410" w:lineRule="auto"/>
        <w:ind w:left="528" w:right="1280" w:firstLine="560"/>
        <w:rPr>
          <w:spacing w:val="2"/>
        </w:rPr>
      </w:pPr>
      <w:r>
        <w:rPr>
          <w:rFonts w:hint="eastAsia"/>
          <w:spacing w:val="2"/>
        </w:rPr>
        <w:t>我科做为主要研究者积极参与国内多中心临床研究，并取得丰硕成果。其中关于</w:t>
      </w:r>
      <w:r>
        <w:rPr>
          <w:rFonts w:hint="eastAsia"/>
          <w:spacing w:val="2"/>
          <w:lang w:val="en-US"/>
        </w:rPr>
        <w:t>NK/T</w:t>
      </w:r>
      <w:r>
        <w:rPr>
          <w:rFonts w:hint="eastAsia"/>
          <w:spacing w:val="2"/>
        </w:rPr>
        <w:t>淋巴瘤的研究的多项研究成果已合作发表在</w:t>
      </w:r>
      <w:r>
        <w:rPr>
          <w:rFonts w:hint="eastAsia"/>
          <w:spacing w:val="2"/>
          <w:lang w:val="en-US"/>
        </w:rPr>
        <w:t>JAMA</w:t>
      </w:r>
      <w:r>
        <w:rPr>
          <w:rFonts w:hint="eastAsia"/>
          <w:spacing w:val="2"/>
        </w:rPr>
        <w:t>、</w:t>
      </w:r>
      <w:r>
        <w:rPr>
          <w:rFonts w:hint="eastAsia"/>
          <w:spacing w:val="2"/>
          <w:lang w:val="en-US"/>
        </w:rPr>
        <w:t>BLOOD</w:t>
      </w:r>
      <w:r>
        <w:rPr>
          <w:rFonts w:hint="eastAsia"/>
          <w:spacing w:val="2"/>
        </w:rPr>
        <w:t>、</w:t>
      </w:r>
      <w:r>
        <w:rPr>
          <w:rFonts w:hint="eastAsia"/>
          <w:spacing w:val="2"/>
          <w:lang w:val="en-US"/>
        </w:rPr>
        <w:t>Ann Oncl</w:t>
      </w:r>
      <w:r>
        <w:rPr>
          <w:rFonts w:hint="eastAsia"/>
          <w:spacing w:val="2"/>
        </w:rPr>
        <w:t>及</w:t>
      </w:r>
      <w:r>
        <w:rPr>
          <w:rFonts w:hint="eastAsia"/>
          <w:spacing w:val="2"/>
          <w:lang w:val="en-US"/>
        </w:rPr>
        <w:t>International Journal of Radiation Oncology Biology Physics</w:t>
      </w:r>
      <w:r>
        <w:rPr>
          <w:rFonts w:hint="eastAsia"/>
          <w:spacing w:val="2"/>
        </w:rPr>
        <w:t>等国际一流杂志上，疗效居世界先进水平；直肠癌新辅助放疗的</w:t>
      </w:r>
      <w:r>
        <w:rPr>
          <w:rFonts w:hint="eastAsia"/>
          <w:spacing w:val="2"/>
          <w:lang w:val="en-US"/>
        </w:rPr>
        <w:t>Cinclare</w:t>
      </w:r>
      <w:r>
        <w:rPr>
          <w:rFonts w:hint="eastAsia"/>
          <w:spacing w:val="2"/>
        </w:rPr>
        <w:t>研究将直肠癌患者的疗效提高了一倍，让更多患者长期保肛生存，相关结果发表在国际权威杂志</w:t>
      </w:r>
      <w:r>
        <w:rPr>
          <w:rFonts w:hint="eastAsia"/>
          <w:spacing w:val="2"/>
          <w:lang w:val="en-US"/>
        </w:rPr>
        <w:t>JCO</w:t>
      </w:r>
      <w:r>
        <w:rPr>
          <w:rFonts w:hint="eastAsia"/>
          <w:spacing w:val="2"/>
        </w:rPr>
        <w:t>上。另外，近年来在我省率先开展高精度立体定向放射治疗</w:t>
      </w:r>
      <w:r>
        <w:rPr>
          <w:rFonts w:hint="eastAsia"/>
          <w:spacing w:val="2"/>
          <w:lang w:val="en-US"/>
        </w:rPr>
        <w:t>SABR</w:t>
      </w:r>
      <w:r>
        <w:rPr>
          <w:rFonts w:hint="eastAsia"/>
          <w:spacing w:val="2"/>
        </w:rPr>
        <w:t>，</w:t>
      </w:r>
      <w:r>
        <w:rPr>
          <w:rFonts w:hint="eastAsia"/>
          <w:spacing w:val="2"/>
          <w:lang w:val="en-US"/>
        </w:rPr>
        <w:t>SBRT</w:t>
      </w:r>
      <w:r>
        <w:rPr>
          <w:rFonts w:hint="eastAsia"/>
          <w:spacing w:val="2"/>
        </w:rPr>
        <w:t>及精准粒子植入，在福建省内率先开展“</w:t>
      </w:r>
      <w:r>
        <w:rPr>
          <w:rFonts w:hint="eastAsia"/>
          <w:spacing w:val="2"/>
          <w:lang w:val="en-US"/>
        </w:rPr>
        <w:t>3D</w:t>
      </w:r>
      <w:r>
        <w:rPr>
          <w:rFonts w:hint="eastAsia"/>
          <w:spacing w:val="2"/>
        </w:rPr>
        <w:t>模板引导下粒子植入”，首创“金标导引”运用于精准粒子植入，得到国内同行的广泛认可。积极开展早期肝癌</w:t>
      </w:r>
      <w:r>
        <w:rPr>
          <w:rFonts w:hint="eastAsia"/>
          <w:spacing w:val="2"/>
          <w:lang w:val="en-US"/>
        </w:rPr>
        <w:t>SBRT</w:t>
      </w:r>
      <w:r>
        <w:rPr>
          <w:rFonts w:hint="eastAsia"/>
          <w:spacing w:val="2"/>
        </w:rPr>
        <w:t>根治放疗、肝癌癌栓放疗及晚期弥漫性肝癌单次大剂量冲击放疗，为肝癌的放疗提供重要手段。科室专家参与制定全国多个病种的治疗指南，包括直肠癌诊疗指南、黑色素瘤诊疗指南及胃癌、乳腺癌、肝癌放疗靶区指南。包括直肠癌在内的研究成果被国际最新的权威指南美国</w:t>
      </w:r>
      <w:r>
        <w:rPr>
          <w:rFonts w:hint="eastAsia"/>
          <w:spacing w:val="2"/>
          <w:lang w:val="en-US"/>
        </w:rPr>
        <w:t>NCCN</w:t>
      </w:r>
      <w:r>
        <w:rPr>
          <w:rFonts w:hint="eastAsia"/>
          <w:spacing w:val="2"/>
        </w:rPr>
        <w:t>指南连续引用，得到国际同行的认可。科室对直肠癌的系列研究探索了临床、病理、影像、分子、基因等多水平因素在现代放疗时代的应用，从而协助个体化治疗策略的制定，参加的直肠癌新辅助同步放化疗新方案研究，直肠癌术前放疗后肿瘤完全缓解率高达</w:t>
      </w:r>
      <w:r>
        <w:rPr>
          <w:rFonts w:hint="eastAsia"/>
          <w:spacing w:val="2"/>
          <w:lang w:val="en-US"/>
        </w:rPr>
        <w:t>36%</w:t>
      </w:r>
      <w:r>
        <w:rPr>
          <w:rFonts w:hint="eastAsia"/>
          <w:spacing w:val="2"/>
        </w:rPr>
        <w:t>，比传统方案提高近一培。在新的治疗模式下，对于高龄、不适合手术或有强烈保肛愿望的直肠癌患者，单纯放化疗后有望达到肿瘤完全缓解。科室先后荣获福建省科技进步三等奖、全国百名优秀住培教师、福建省职工优秀创新成果一等奖等多项荣誉。科室专家担任《放射治疗技术》主编、《放射治疗计划学》副主编、参编《鼻咽癌》、《现代乳腺病学》、《肿瘤放射治疗学》等著作。</w:t>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97" w:line="222" w:lineRule="auto"/>
        <w:ind w:firstLine="562" w:firstLineChars="200"/>
        <w:rPr>
          <w:rFonts w:ascii="黑体" w:hAnsi="黑体" w:eastAsia="黑体" w:cs="黑体"/>
          <w:sz w:val="30"/>
          <w:szCs w:val="30"/>
        </w:rPr>
      </w:pPr>
      <w:bookmarkStart w:id="1" w:name="bookmark2"/>
      <w:bookmarkEnd w:id="1"/>
      <w:r>
        <w:rPr>
          <w:rFonts w:ascii="黑体" w:hAnsi="黑体" w:eastAsia="黑体" w:cs="黑体"/>
          <w:b/>
          <w:bCs/>
          <w:spacing w:val="-10"/>
          <w:sz w:val="30"/>
          <w:szCs w:val="30"/>
        </w:rPr>
        <w:t>科室带教老师简介：</w:t>
      </w:r>
    </w:p>
    <w:p>
      <w:pPr>
        <w:spacing w:line="118" w:lineRule="exact"/>
      </w:pPr>
    </w:p>
    <w:tbl>
      <w:tblPr>
        <w:tblStyle w:val="8"/>
        <w:tblW w:w="8458"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303"/>
        <w:gridCol w:w="1711"/>
        <w:gridCol w:w="814"/>
        <w:gridCol w:w="1152"/>
        <w:gridCol w:w="2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91" w:type="dxa"/>
            <w:vMerge w:val="restart"/>
            <w:tcBorders>
              <w:bottom w:val="nil"/>
            </w:tcBorders>
            <w:vAlign w:val="top"/>
          </w:tcPr>
          <w:p>
            <w:pPr>
              <w:pStyle w:val="9"/>
              <w:spacing w:before="194" w:line="240" w:lineRule="auto"/>
              <w:ind w:left="145"/>
              <w:jc w:val="center"/>
            </w:pPr>
            <w:r>
              <w:rPr>
                <w:spacing w:val="-2"/>
              </w:rPr>
              <w:t>序号</w:t>
            </w:r>
          </w:p>
        </w:tc>
        <w:tc>
          <w:tcPr>
            <w:tcW w:w="1303" w:type="dxa"/>
            <w:vMerge w:val="restart"/>
            <w:tcBorders>
              <w:bottom w:val="nil"/>
            </w:tcBorders>
            <w:vAlign w:val="top"/>
          </w:tcPr>
          <w:p>
            <w:pPr>
              <w:pStyle w:val="9"/>
              <w:spacing w:before="190" w:line="240" w:lineRule="auto"/>
              <w:ind w:left="333"/>
              <w:jc w:val="center"/>
            </w:pPr>
            <w:r>
              <w:rPr>
                <w:b/>
                <w:bCs/>
                <w:spacing w:val="7"/>
              </w:rPr>
              <w:t>姓名</w:t>
            </w:r>
          </w:p>
        </w:tc>
        <w:tc>
          <w:tcPr>
            <w:tcW w:w="1711" w:type="dxa"/>
            <w:vMerge w:val="restart"/>
            <w:tcBorders>
              <w:bottom w:val="nil"/>
            </w:tcBorders>
            <w:vAlign w:val="top"/>
          </w:tcPr>
          <w:p>
            <w:pPr>
              <w:pStyle w:val="9"/>
              <w:spacing w:before="195" w:line="240" w:lineRule="auto"/>
              <w:ind w:left="532"/>
              <w:jc w:val="center"/>
            </w:pPr>
            <w:r>
              <w:rPr>
                <w:spacing w:val="-3"/>
              </w:rPr>
              <w:t>职称</w:t>
            </w:r>
          </w:p>
        </w:tc>
        <w:tc>
          <w:tcPr>
            <w:tcW w:w="814" w:type="dxa"/>
            <w:vMerge w:val="restart"/>
            <w:tcBorders>
              <w:bottom w:val="nil"/>
            </w:tcBorders>
            <w:vAlign w:val="top"/>
          </w:tcPr>
          <w:p>
            <w:pPr>
              <w:pStyle w:val="9"/>
              <w:spacing w:before="194" w:line="240" w:lineRule="auto"/>
              <w:ind w:left="143"/>
              <w:jc w:val="center"/>
            </w:pPr>
            <w:r>
              <w:rPr>
                <w:spacing w:val="-3"/>
              </w:rPr>
              <w:t>学位</w:t>
            </w:r>
          </w:p>
        </w:tc>
        <w:tc>
          <w:tcPr>
            <w:tcW w:w="1152" w:type="dxa"/>
            <w:vMerge w:val="restart"/>
            <w:tcBorders>
              <w:bottom w:val="nil"/>
            </w:tcBorders>
            <w:vAlign w:val="top"/>
          </w:tcPr>
          <w:p>
            <w:pPr>
              <w:pStyle w:val="9"/>
              <w:spacing w:before="194" w:line="240" w:lineRule="auto"/>
              <w:ind w:left="124"/>
              <w:jc w:val="center"/>
            </w:pPr>
            <w:r>
              <w:rPr>
                <w:spacing w:val="6"/>
              </w:rPr>
              <w:t>学历</w:t>
            </w:r>
          </w:p>
        </w:tc>
        <w:tc>
          <w:tcPr>
            <w:tcW w:w="2787" w:type="dxa"/>
            <w:vMerge w:val="restart"/>
            <w:tcBorders>
              <w:bottom w:val="nil"/>
            </w:tcBorders>
            <w:vAlign w:val="top"/>
          </w:tcPr>
          <w:p>
            <w:pPr>
              <w:pStyle w:val="9"/>
              <w:spacing w:before="191" w:line="240" w:lineRule="auto"/>
              <w:ind w:left="989"/>
              <w:jc w:val="center"/>
            </w:pPr>
            <w:r>
              <w:rPr>
                <w:b/>
                <w:bCs/>
                <w:spacing w:val="-5"/>
              </w:rPr>
              <w:t>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1" w:type="dxa"/>
            <w:vMerge w:val="continue"/>
            <w:tcBorders>
              <w:top w:val="nil"/>
            </w:tcBorders>
            <w:vAlign w:val="top"/>
          </w:tcPr>
          <w:p>
            <w:pPr>
              <w:spacing w:line="240" w:lineRule="auto"/>
              <w:jc w:val="center"/>
              <w:rPr>
                <w:rFonts w:ascii="Arial"/>
                <w:sz w:val="21"/>
              </w:rPr>
            </w:pPr>
          </w:p>
        </w:tc>
        <w:tc>
          <w:tcPr>
            <w:tcW w:w="1303" w:type="dxa"/>
            <w:vMerge w:val="continue"/>
            <w:tcBorders>
              <w:top w:val="nil"/>
            </w:tcBorders>
            <w:vAlign w:val="top"/>
          </w:tcPr>
          <w:p>
            <w:pPr>
              <w:spacing w:line="240" w:lineRule="auto"/>
              <w:jc w:val="center"/>
              <w:rPr>
                <w:rFonts w:ascii="Arial"/>
                <w:sz w:val="21"/>
              </w:rPr>
            </w:pPr>
          </w:p>
        </w:tc>
        <w:tc>
          <w:tcPr>
            <w:tcW w:w="1711" w:type="dxa"/>
            <w:vMerge w:val="continue"/>
            <w:tcBorders>
              <w:top w:val="nil"/>
            </w:tcBorders>
            <w:vAlign w:val="top"/>
          </w:tcPr>
          <w:p>
            <w:pPr>
              <w:spacing w:line="240" w:lineRule="auto"/>
              <w:jc w:val="center"/>
              <w:rPr>
                <w:rFonts w:ascii="Arial"/>
                <w:sz w:val="21"/>
              </w:rPr>
            </w:pPr>
          </w:p>
        </w:tc>
        <w:tc>
          <w:tcPr>
            <w:tcW w:w="814" w:type="dxa"/>
            <w:vMerge w:val="continue"/>
            <w:tcBorders>
              <w:top w:val="nil"/>
            </w:tcBorders>
            <w:vAlign w:val="top"/>
          </w:tcPr>
          <w:p>
            <w:pPr>
              <w:spacing w:line="240" w:lineRule="auto"/>
              <w:jc w:val="center"/>
              <w:rPr>
                <w:rFonts w:ascii="Arial"/>
                <w:sz w:val="21"/>
              </w:rPr>
            </w:pPr>
          </w:p>
        </w:tc>
        <w:tc>
          <w:tcPr>
            <w:tcW w:w="1152" w:type="dxa"/>
            <w:vMerge w:val="continue"/>
            <w:tcBorders>
              <w:top w:val="nil"/>
            </w:tcBorders>
            <w:vAlign w:val="top"/>
          </w:tcPr>
          <w:p>
            <w:pPr>
              <w:spacing w:line="240" w:lineRule="auto"/>
              <w:jc w:val="center"/>
              <w:rPr>
                <w:rFonts w:ascii="Arial"/>
                <w:sz w:val="21"/>
              </w:rPr>
            </w:pPr>
          </w:p>
        </w:tc>
        <w:tc>
          <w:tcPr>
            <w:tcW w:w="2787" w:type="dxa"/>
            <w:vMerge w:val="continue"/>
            <w:tcBorders>
              <w:top w:val="nil"/>
            </w:tcBorders>
            <w:vAlign w:val="top"/>
          </w:tcPr>
          <w:p>
            <w:pPr>
              <w:spacing w:line="240" w:lineRule="auto"/>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691" w:type="dxa"/>
            <w:vAlign w:val="top"/>
          </w:tcPr>
          <w:p>
            <w:pPr>
              <w:pStyle w:val="9"/>
              <w:spacing w:before="65" w:line="240" w:lineRule="auto"/>
              <w:jc w:val="both"/>
              <w:rPr>
                <w:rFonts w:hint="eastAsia"/>
                <w:lang w:val="en-US" w:eastAsia="zh-CN"/>
              </w:rPr>
            </w:pPr>
          </w:p>
          <w:p>
            <w:pPr>
              <w:pStyle w:val="9"/>
              <w:spacing w:before="65" w:line="240" w:lineRule="auto"/>
              <w:ind w:left="445"/>
              <w:jc w:val="center"/>
              <w:rPr>
                <w:rFonts w:hint="eastAsia"/>
                <w:lang w:val="en-US" w:eastAsia="zh-CN"/>
              </w:rPr>
            </w:pPr>
            <w:r>
              <w:rPr>
                <w:rFonts w:hint="eastAsia"/>
                <w:lang w:val="en-US" w:eastAsia="zh-CN"/>
              </w:rPr>
              <w:t>1</w:t>
            </w:r>
          </w:p>
        </w:tc>
        <w:tc>
          <w:tcPr>
            <w:tcW w:w="1303" w:type="dxa"/>
            <w:vAlign w:val="top"/>
          </w:tcPr>
          <w:p>
            <w:pPr>
              <w:spacing w:line="240" w:lineRule="auto"/>
              <w:jc w:val="center"/>
              <w:rPr>
                <w:rFonts w:ascii="Arial"/>
                <w:sz w:val="21"/>
              </w:rPr>
            </w:pPr>
          </w:p>
          <w:p>
            <w:pPr>
              <w:pStyle w:val="9"/>
              <w:spacing w:before="65" w:line="240" w:lineRule="auto"/>
              <w:ind w:left="101"/>
              <w:jc w:val="center"/>
              <w:rPr>
                <w:rFonts w:hint="eastAsia" w:eastAsia="宋体"/>
                <w:lang w:eastAsia="zh-CN"/>
              </w:rPr>
            </w:pPr>
            <w:r>
              <w:rPr>
                <w:rFonts w:hint="eastAsia"/>
                <w:spacing w:val="-2"/>
                <w:lang w:val="en-US" w:eastAsia="zh-CN"/>
              </w:rPr>
              <w:t>吴君心</w:t>
            </w:r>
          </w:p>
        </w:tc>
        <w:tc>
          <w:tcPr>
            <w:tcW w:w="1711" w:type="dxa"/>
            <w:vAlign w:val="top"/>
          </w:tcPr>
          <w:p>
            <w:pPr>
              <w:spacing w:line="240" w:lineRule="auto"/>
              <w:jc w:val="center"/>
              <w:rPr>
                <w:rFonts w:ascii="Arial"/>
                <w:sz w:val="21"/>
              </w:rPr>
            </w:pPr>
          </w:p>
          <w:p>
            <w:pPr>
              <w:pStyle w:val="9"/>
              <w:spacing w:before="65" w:line="240" w:lineRule="auto"/>
              <w:ind w:left="142"/>
              <w:jc w:val="center"/>
            </w:pPr>
            <w:r>
              <w:rPr>
                <w:spacing w:val="2"/>
              </w:rPr>
              <w:t>主任医师</w:t>
            </w:r>
          </w:p>
        </w:tc>
        <w:tc>
          <w:tcPr>
            <w:tcW w:w="814" w:type="dxa"/>
            <w:vAlign w:val="top"/>
          </w:tcPr>
          <w:p>
            <w:pPr>
              <w:spacing w:line="240" w:lineRule="auto"/>
              <w:jc w:val="center"/>
              <w:rPr>
                <w:rFonts w:ascii="Arial"/>
                <w:sz w:val="21"/>
              </w:rPr>
            </w:pPr>
          </w:p>
          <w:p>
            <w:pPr>
              <w:pStyle w:val="9"/>
              <w:spacing w:before="65" w:line="240" w:lineRule="auto"/>
              <w:ind w:left="143"/>
              <w:jc w:val="center"/>
              <w:rPr>
                <w:rFonts w:hint="eastAsia" w:eastAsia="宋体"/>
                <w:lang w:eastAsia="zh-CN"/>
              </w:rPr>
            </w:pPr>
            <w:r>
              <w:rPr>
                <w:rFonts w:hint="eastAsia"/>
                <w:spacing w:val="-3"/>
                <w:lang w:val="en-US" w:eastAsia="zh-CN"/>
              </w:rPr>
              <w:t>博士</w:t>
            </w:r>
          </w:p>
        </w:tc>
        <w:tc>
          <w:tcPr>
            <w:tcW w:w="1152" w:type="dxa"/>
            <w:vAlign w:val="top"/>
          </w:tcPr>
          <w:p>
            <w:pPr>
              <w:spacing w:line="240" w:lineRule="auto"/>
              <w:jc w:val="center"/>
              <w:rPr>
                <w:rFonts w:ascii="Arial"/>
                <w:sz w:val="21"/>
              </w:rPr>
            </w:pPr>
          </w:p>
          <w:p>
            <w:pPr>
              <w:pStyle w:val="9"/>
              <w:spacing w:before="65" w:line="240" w:lineRule="auto"/>
              <w:ind w:left="124"/>
              <w:jc w:val="center"/>
              <w:rPr>
                <w:rFonts w:hint="eastAsia" w:eastAsia="宋体"/>
                <w:lang w:eastAsia="zh-CN"/>
              </w:rPr>
            </w:pPr>
            <w:r>
              <w:rPr>
                <w:rFonts w:hint="eastAsia"/>
                <w:spacing w:val="-3"/>
                <w:lang w:val="en-US" w:eastAsia="zh-CN"/>
              </w:rPr>
              <w:t>博士</w:t>
            </w:r>
          </w:p>
        </w:tc>
        <w:tc>
          <w:tcPr>
            <w:tcW w:w="2787" w:type="dxa"/>
            <w:vAlign w:val="top"/>
          </w:tcPr>
          <w:p>
            <w:pPr>
              <w:pStyle w:val="9"/>
              <w:spacing w:before="70" w:line="240" w:lineRule="auto"/>
              <w:ind w:left="17"/>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691" w:type="dxa"/>
            <w:vAlign w:val="top"/>
          </w:tcPr>
          <w:p>
            <w:pPr>
              <w:pStyle w:val="9"/>
              <w:spacing w:before="65" w:line="240" w:lineRule="auto"/>
              <w:jc w:val="both"/>
            </w:pPr>
          </w:p>
          <w:p>
            <w:pPr>
              <w:pStyle w:val="9"/>
              <w:spacing w:before="65" w:line="240" w:lineRule="auto"/>
              <w:ind w:left="445"/>
              <w:jc w:val="center"/>
            </w:pPr>
            <w:r>
              <w:t>2</w:t>
            </w:r>
          </w:p>
        </w:tc>
        <w:tc>
          <w:tcPr>
            <w:tcW w:w="1303" w:type="dxa"/>
            <w:vAlign w:val="top"/>
          </w:tcPr>
          <w:p>
            <w:pPr>
              <w:spacing w:line="240" w:lineRule="auto"/>
              <w:jc w:val="center"/>
              <w:rPr>
                <w:rFonts w:ascii="Arial"/>
                <w:sz w:val="21"/>
              </w:rPr>
            </w:pPr>
          </w:p>
          <w:p>
            <w:pPr>
              <w:pStyle w:val="9"/>
              <w:spacing w:before="65" w:line="240" w:lineRule="auto"/>
              <w:ind w:left="101"/>
              <w:jc w:val="center"/>
              <w:rPr>
                <w:rFonts w:hint="eastAsia" w:eastAsia="宋体"/>
                <w:lang w:val="en-US" w:eastAsia="zh-CN"/>
              </w:rPr>
            </w:pPr>
            <w:r>
              <w:rPr>
                <w:rFonts w:hint="eastAsia"/>
                <w:lang w:val="en-US" w:eastAsia="zh-CN"/>
              </w:rPr>
              <w:t>李金銮</w:t>
            </w:r>
          </w:p>
        </w:tc>
        <w:tc>
          <w:tcPr>
            <w:tcW w:w="1711" w:type="dxa"/>
            <w:vAlign w:val="top"/>
          </w:tcPr>
          <w:p>
            <w:pPr>
              <w:spacing w:line="240" w:lineRule="auto"/>
              <w:jc w:val="center"/>
              <w:rPr>
                <w:rFonts w:ascii="Arial"/>
                <w:sz w:val="21"/>
              </w:rPr>
            </w:pPr>
          </w:p>
          <w:p>
            <w:pPr>
              <w:pStyle w:val="9"/>
              <w:spacing w:before="65" w:line="240" w:lineRule="auto"/>
              <w:ind w:left="142"/>
              <w:jc w:val="center"/>
            </w:pPr>
            <w:r>
              <w:rPr>
                <w:spacing w:val="2"/>
              </w:rPr>
              <w:t>主任医师</w:t>
            </w:r>
          </w:p>
        </w:tc>
        <w:tc>
          <w:tcPr>
            <w:tcW w:w="814" w:type="dxa"/>
            <w:vAlign w:val="top"/>
          </w:tcPr>
          <w:p>
            <w:pPr>
              <w:spacing w:line="240" w:lineRule="auto"/>
              <w:jc w:val="center"/>
              <w:rPr>
                <w:rFonts w:ascii="Arial"/>
                <w:sz w:val="21"/>
              </w:rPr>
            </w:pPr>
          </w:p>
          <w:p>
            <w:pPr>
              <w:pStyle w:val="9"/>
              <w:spacing w:before="65" w:line="240" w:lineRule="auto"/>
              <w:ind w:left="143"/>
              <w:jc w:val="center"/>
            </w:pPr>
            <w:r>
              <w:rPr>
                <w:rFonts w:hint="eastAsia"/>
                <w:spacing w:val="-3"/>
                <w:lang w:val="en-US" w:eastAsia="zh-CN"/>
              </w:rPr>
              <w:t>博士</w:t>
            </w:r>
          </w:p>
        </w:tc>
        <w:tc>
          <w:tcPr>
            <w:tcW w:w="1152" w:type="dxa"/>
            <w:vAlign w:val="top"/>
          </w:tcPr>
          <w:p>
            <w:pPr>
              <w:spacing w:line="240" w:lineRule="auto"/>
              <w:jc w:val="center"/>
              <w:rPr>
                <w:rFonts w:ascii="Arial"/>
                <w:sz w:val="21"/>
              </w:rPr>
            </w:pPr>
          </w:p>
          <w:p>
            <w:pPr>
              <w:pStyle w:val="9"/>
              <w:spacing w:before="65" w:line="240" w:lineRule="auto"/>
              <w:ind w:left="124"/>
              <w:jc w:val="center"/>
            </w:pPr>
            <w:r>
              <w:rPr>
                <w:rFonts w:hint="eastAsia"/>
                <w:spacing w:val="-3"/>
                <w:lang w:val="en-US" w:eastAsia="zh-CN"/>
              </w:rPr>
              <w:t>博士</w:t>
            </w:r>
          </w:p>
        </w:tc>
        <w:tc>
          <w:tcPr>
            <w:tcW w:w="2787" w:type="dxa"/>
            <w:vAlign w:val="top"/>
          </w:tcPr>
          <w:p>
            <w:pPr>
              <w:pStyle w:val="9"/>
              <w:spacing w:before="64"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691" w:type="dxa"/>
            <w:vAlign w:val="top"/>
          </w:tcPr>
          <w:p>
            <w:pPr>
              <w:pStyle w:val="9"/>
              <w:spacing w:before="256" w:line="240" w:lineRule="auto"/>
              <w:ind w:left="445" w:leftChars="0"/>
              <w:jc w:val="center"/>
            </w:pPr>
            <w:r>
              <w:t>5</w:t>
            </w:r>
          </w:p>
        </w:tc>
        <w:tc>
          <w:tcPr>
            <w:tcW w:w="1303" w:type="dxa"/>
            <w:vAlign w:val="top"/>
          </w:tcPr>
          <w:p>
            <w:pPr>
              <w:pStyle w:val="9"/>
              <w:spacing w:before="204" w:line="240" w:lineRule="auto"/>
              <w:ind w:left="101" w:leftChars="0"/>
              <w:jc w:val="center"/>
              <w:rPr>
                <w:rFonts w:hint="eastAsia"/>
                <w:lang w:val="en-US" w:eastAsia="zh-CN"/>
              </w:rPr>
            </w:pPr>
            <w:r>
              <w:rPr>
                <w:rFonts w:hint="eastAsia"/>
                <w:lang w:val="en-US" w:eastAsia="zh-CN"/>
              </w:rPr>
              <w:t>陈炬辉</w:t>
            </w:r>
          </w:p>
        </w:tc>
        <w:tc>
          <w:tcPr>
            <w:tcW w:w="1711" w:type="dxa"/>
            <w:vAlign w:val="top"/>
          </w:tcPr>
          <w:p>
            <w:pPr>
              <w:pStyle w:val="9"/>
              <w:spacing w:before="204" w:line="240" w:lineRule="auto"/>
              <w:ind w:left="142" w:leftChars="0"/>
              <w:jc w:val="center"/>
              <w:rPr>
                <w:spacing w:val="2"/>
              </w:rPr>
            </w:pPr>
            <w:r>
              <w:rPr>
                <w:spacing w:val="-2"/>
              </w:rPr>
              <w:t>主任医师</w:t>
            </w:r>
          </w:p>
        </w:tc>
        <w:tc>
          <w:tcPr>
            <w:tcW w:w="814" w:type="dxa"/>
            <w:vAlign w:val="top"/>
          </w:tcPr>
          <w:p>
            <w:pPr>
              <w:pStyle w:val="9"/>
              <w:spacing w:before="205" w:line="240" w:lineRule="auto"/>
              <w:ind w:left="143" w:leftChars="0"/>
              <w:jc w:val="center"/>
              <w:rPr>
                <w:rFonts w:hint="eastAsia"/>
                <w:spacing w:val="-3"/>
                <w:lang w:val="en-US" w:eastAsia="zh-CN"/>
              </w:rPr>
            </w:pPr>
            <w:r>
              <w:rPr>
                <w:rFonts w:hint="eastAsia"/>
                <w:spacing w:val="-3"/>
                <w:lang w:val="en-US" w:eastAsia="zh-CN"/>
              </w:rPr>
              <w:t>博士</w:t>
            </w:r>
          </w:p>
        </w:tc>
        <w:tc>
          <w:tcPr>
            <w:tcW w:w="1152" w:type="dxa"/>
            <w:vAlign w:val="top"/>
          </w:tcPr>
          <w:p>
            <w:pPr>
              <w:pStyle w:val="9"/>
              <w:spacing w:before="202" w:line="240" w:lineRule="auto"/>
              <w:ind w:left="124" w:leftChars="0"/>
              <w:jc w:val="center"/>
              <w:rPr>
                <w:rFonts w:hint="eastAsia"/>
                <w:spacing w:val="-3"/>
                <w:lang w:val="en-US" w:eastAsia="zh-CN"/>
              </w:rPr>
            </w:pPr>
            <w:r>
              <w:rPr>
                <w:rFonts w:hint="eastAsia"/>
                <w:spacing w:val="-3"/>
                <w:lang w:val="en-US" w:eastAsia="zh-CN"/>
              </w:rPr>
              <w:t>博士</w:t>
            </w:r>
          </w:p>
        </w:tc>
        <w:tc>
          <w:tcPr>
            <w:tcW w:w="2787" w:type="dxa"/>
            <w:vAlign w:val="top"/>
          </w:tcPr>
          <w:p>
            <w:pPr>
              <w:pStyle w:val="9"/>
              <w:spacing w:before="63" w:line="240" w:lineRule="auto"/>
              <w:ind w:left="37" w:leftChars="0" w:right="51" w:rightChars="0" w:firstLine="49" w:firstLineChars="0"/>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vAlign w:val="top"/>
          </w:tcPr>
          <w:p>
            <w:pPr>
              <w:pStyle w:val="9"/>
              <w:spacing w:before="104" w:line="240" w:lineRule="auto"/>
              <w:ind w:left="445"/>
              <w:jc w:val="center"/>
            </w:pPr>
            <w:r>
              <w:t>3</w:t>
            </w:r>
          </w:p>
        </w:tc>
        <w:tc>
          <w:tcPr>
            <w:tcW w:w="1303" w:type="dxa"/>
            <w:vAlign w:val="top"/>
          </w:tcPr>
          <w:p>
            <w:pPr>
              <w:pStyle w:val="9"/>
              <w:spacing w:before="55" w:line="240" w:lineRule="auto"/>
              <w:ind w:left="101"/>
              <w:jc w:val="center"/>
              <w:rPr>
                <w:rFonts w:hint="eastAsia" w:eastAsia="宋体"/>
                <w:lang w:val="en-US" w:eastAsia="zh-CN"/>
              </w:rPr>
            </w:pPr>
            <w:r>
              <w:rPr>
                <w:rFonts w:hint="eastAsia"/>
                <w:lang w:val="en-US" w:eastAsia="zh-CN"/>
              </w:rPr>
              <w:t>林培成</w:t>
            </w:r>
          </w:p>
        </w:tc>
        <w:tc>
          <w:tcPr>
            <w:tcW w:w="1711" w:type="dxa"/>
            <w:vAlign w:val="top"/>
          </w:tcPr>
          <w:p>
            <w:pPr>
              <w:pStyle w:val="9"/>
              <w:spacing w:before="52" w:line="240" w:lineRule="auto"/>
              <w:ind w:left="142"/>
              <w:jc w:val="center"/>
            </w:pPr>
            <w:r>
              <w:rPr>
                <w:spacing w:val="-2"/>
              </w:rPr>
              <w:t>主任医师</w:t>
            </w:r>
          </w:p>
        </w:tc>
        <w:tc>
          <w:tcPr>
            <w:tcW w:w="814" w:type="dxa"/>
            <w:vAlign w:val="top"/>
          </w:tcPr>
          <w:p>
            <w:pPr>
              <w:pStyle w:val="9"/>
              <w:spacing w:before="52" w:line="240" w:lineRule="auto"/>
              <w:ind w:left="143"/>
              <w:jc w:val="center"/>
            </w:pPr>
            <w:r>
              <w:rPr>
                <w:spacing w:val="-3"/>
              </w:rPr>
              <w:t>本科</w:t>
            </w:r>
          </w:p>
        </w:tc>
        <w:tc>
          <w:tcPr>
            <w:tcW w:w="1152" w:type="dxa"/>
            <w:vAlign w:val="top"/>
          </w:tcPr>
          <w:p>
            <w:pPr>
              <w:pStyle w:val="9"/>
              <w:spacing w:before="52" w:line="240" w:lineRule="auto"/>
              <w:ind w:left="124"/>
              <w:jc w:val="center"/>
            </w:pPr>
            <w:r>
              <w:rPr>
                <w:spacing w:val="-3"/>
              </w:rPr>
              <w:t>本科</w:t>
            </w:r>
          </w:p>
        </w:tc>
        <w:tc>
          <w:tcPr>
            <w:tcW w:w="2787" w:type="dxa"/>
            <w:vAlign w:val="top"/>
          </w:tcPr>
          <w:p>
            <w:pPr>
              <w:pStyle w:val="9"/>
              <w:spacing w:before="53"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1" w:type="dxa"/>
            <w:vAlign w:val="top"/>
          </w:tcPr>
          <w:p>
            <w:pPr>
              <w:pStyle w:val="9"/>
              <w:spacing w:before="105" w:line="240" w:lineRule="auto"/>
              <w:ind w:left="445"/>
              <w:jc w:val="center"/>
            </w:pPr>
            <w:r>
              <w:t>4</w:t>
            </w:r>
          </w:p>
        </w:tc>
        <w:tc>
          <w:tcPr>
            <w:tcW w:w="1303" w:type="dxa"/>
            <w:vAlign w:val="top"/>
          </w:tcPr>
          <w:p>
            <w:pPr>
              <w:pStyle w:val="9"/>
              <w:spacing w:before="53" w:line="240" w:lineRule="auto"/>
              <w:ind w:left="101"/>
              <w:jc w:val="center"/>
              <w:rPr>
                <w:rFonts w:hint="default" w:eastAsia="宋体"/>
                <w:lang w:val="en-US" w:eastAsia="zh-CN"/>
              </w:rPr>
            </w:pPr>
            <w:r>
              <w:rPr>
                <w:rFonts w:hint="eastAsia"/>
                <w:lang w:val="en-US" w:eastAsia="zh-CN"/>
              </w:rPr>
              <w:t>邵凌东</w:t>
            </w:r>
          </w:p>
        </w:tc>
        <w:tc>
          <w:tcPr>
            <w:tcW w:w="1711" w:type="dxa"/>
            <w:vAlign w:val="top"/>
          </w:tcPr>
          <w:p>
            <w:pPr>
              <w:pStyle w:val="9"/>
              <w:spacing w:before="53" w:line="240" w:lineRule="auto"/>
              <w:ind w:left="142"/>
              <w:jc w:val="center"/>
            </w:pPr>
            <w:r>
              <w:rPr>
                <w:spacing w:val="-2"/>
              </w:rPr>
              <w:t>主任医师</w:t>
            </w:r>
          </w:p>
        </w:tc>
        <w:tc>
          <w:tcPr>
            <w:tcW w:w="814" w:type="dxa"/>
            <w:vAlign w:val="top"/>
          </w:tcPr>
          <w:p>
            <w:pPr>
              <w:pStyle w:val="9"/>
              <w:spacing w:before="55" w:line="240" w:lineRule="auto"/>
              <w:ind w:left="143"/>
              <w:jc w:val="center"/>
            </w:pPr>
            <w:r>
              <w:rPr>
                <w:spacing w:val="-3"/>
              </w:rPr>
              <w:t>本科</w:t>
            </w:r>
          </w:p>
        </w:tc>
        <w:tc>
          <w:tcPr>
            <w:tcW w:w="1152" w:type="dxa"/>
            <w:vAlign w:val="top"/>
          </w:tcPr>
          <w:p>
            <w:pPr>
              <w:pStyle w:val="9"/>
              <w:spacing w:before="53" w:line="240" w:lineRule="auto"/>
              <w:ind w:left="124"/>
              <w:jc w:val="center"/>
            </w:pPr>
            <w:r>
              <w:rPr>
                <w:spacing w:val="-3"/>
              </w:rPr>
              <w:t>本科</w:t>
            </w:r>
          </w:p>
        </w:tc>
        <w:tc>
          <w:tcPr>
            <w:tcW w:w="2787" w:type="dxa"/>
            <w:vAlign w:val="top"/>
          </w:tcPr>
          <w:p>
            <w:pPr>
              <w:pStyle w:val="9"/>
              <w:spacing w:before="56"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691" w:type="dxa"/>
            <w:vAlign w:val="top"/>
          </w:tcPr>
          <w:p>
            <w:pPr>
              <w:pStyle w:val="9"/>
              <w:spacing w:before="109" w:line="240" w:lineRule="auto"/>
              <w:ind w:left="445" w:leftChars="0"/>
              <w:jc w:val="center"/>
            </w:pPr>
            <w:r>
              <w:t>8</w:t>
            </w:r>
          </w:p>
        </w:tc>
        <w:tc>
          <w:tcPr>
            <w:tcW w:w="1303" w:type="dxa"/>
            <w:vAlign w:val="top"/>
          </w:tcPr>
          <w:p>
            <w:pPr>
              <w:pStyle w:val="9"/>
              <w:spacing w:before="57" w:line="240" w:lineRule="auto"/>
              <w:ind w:left="101" w:leftChars="0"/>
              <w:jc w:val="center"/>
              <w:rPr>
                <w:rFonts w:hint="eastAsia"/>
                <w:lang w:val="en-US" w:eastAsia="zh-CN"/>
              </w:rPr>
            </w:pPr>
            <w:r>
              <w:rPr>
                <w:rFonts w:ascii="宋体" w:hAnsi="宋体" w:eastAsia="宋体" w:cs="宋体"/>
                <w:i w:val="0"/>
                <w:iCs w:val="0"/>
                <w:caps w:val="0"/>
                <w:color w:val="000000"/>
                <w:spacing w:val="0"/>
                <w:sz w:val="19"/>
                <w:szCs w:val="19"/>
                <w:shd w:val="clear" w:fill="FFFFFF"/>
              </w:rPr>
              <w:t>程文芳</w:t>
            </w:r>
          </w:p>
        </w:tc>
        <w:tc>
          <w:tcPr>
            <w:tcW w:w="1711" w:type="dxa"/>
            <w:vAlign w:val="top"/>
          </w:tcPr>
          <w:p>
            <w:pPr>
              <w:pStyle w:val="9"/>
              <w:spacing w:before="57" w:line="240" w:lineRule="auto"/>
              <w:ind w:left="142" w:leftChars="0"/>
              <w:jc w:val="center"/>
              <w:rPr>
                <w:spacing w:val="-2"/>
              </w:rPr>
            </w:pPr>
            <w:r>
              <w:rPr>
                <w:spacing w:val="-2"/>
              </w:rPr>
              <w:t>主任医师</w:t>
            </w:r>
          </w:p>
        </w:tc>
        <w:tc>
          <w:tcPr>
            <w:tcW w:w="814" w:type="dxa"/>
            <w:vAlign w:val="top"/>
          </w:tcPr>
          <w:p>
            <w:pPr>
              <w:pStyle w:val="9"/>
              <w:spacing w:before="58" w:line="240" w:lineRule="auto"/>
              <w:ind w:left="143" w:leftChars="0"/>
              <w:jc w:val="center"/>
              <w:rPr>
                <w:rFonts w:hint="eastAsia"/>
                <w:spacing w:val="-3"/>
                <w:lang w:val="en-US" w:eastAsia="zh-CN"/>
              </w:rPr>
            </w:pPr>
            <w:r>
              <w:rPr>
                <w:spacing w:val="-3"/>
              </w:rPr>
              <w:t>本科</w:t>
            </w:r>
          </w:p>
        </w:tc>
        <w:tc>
          <w:tcPr>
            <w:tcW w:w="1152" w:type="dxa"/>
            <w:vAlign w:val="top"/>
          </w:tcPr>
          <w:p>
            <w:pPr>
              <w:pStyle w:val="9"/>
              <w:spacing w:before="56" w:line="240" w:lineRule="auto"/>
              <w:ind w:left="124" w:leftChars="0"/>
              <w:jc w:val="center"/>
              <w:rPr>
                <w:rFonts w:hint="eastAsia"/>
                <w:spacing w:val="-3"/>
                <w:lang w:val="en-US" w:eastAsia="zh-CN"/>
              </w:rPr>
            </w:pPr>
            <w:r>
              <w:rPr>
                <w:spacing w:val="-3"/>
              </w:rPr>
              <w:t>本科</w:t>
            </w:r>
          </w:p>
        </w:tc>
        <w:tc>
          <w:tcPr>
            <w:tcW w:w="2787" w:type="dxa"/>
            <w:vAlign w:val="top"/>
          </w:tcPr>
          <w:p>
            <w:pPr>
              <w:pStyle w:val="9"/>
              <w:spacing w:before="56"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91" w:type="dxa"/>
            <w:vAlign w:val="top"/>
          </w:tcPr>
          <w:p>
            <w:pPr>
              <w:pStyle w:val="9"/>
              <w:spacing w:before="256" w:line="240" w:lineRule="auto"/>
              <w:ind w:left="445"/>
              <w:jc w:val="center"/>
            </w:pPr>
            <w:r>
              <w:t>5</w:t>
            </w:r>
          </w:p>
        </w:tc>
        <w:tc>
          <w:tcPr>
            <w:tcW w:w="1303" w:type="dxa"/>
            <w:vAlign w:val="top"/>
          </w:tcPr>
          <w:p>
            <w:pPr>
              <w:pStyle w:val="9"/>
              <w:spacing w:before="204" w:line="240" w:lineRule="auto"/>
              <w:ind w:left="101"/>
              <w:jc w:val="center"/>
              <w:rPr>
                <w:rFonts w:hint="eastAsia" w:eastAsia="宋体"/>
                <w:lang w:val="en-US" w:eastAsia="zh-CN"/>
              </w:rPr>
            </w:pPr>
            <w:r>
              <w:rPr>
                <w:rFonts w:hint="eastAsia"/>
                <w:lang w:val="en-US" w:eastAsia="zh-CN"/>
              </w:rPr>
              <w:t>陈娜</w:t>
            </w:r>
          </w:p>
        </w:tc>
        <w:tc>
          <w:tcPr>
            <w:tcW w:w="1711" w:type="dxa"/>
            <w:vAlign w:val="top"/>
          </w:tcPr>
          <w:p>
            <w:pPr>
              <w:pStyle w:val="9"/>
              <w:spacing w:before="204" w:line="240" w:lineRule="auto"/>
              <w:ind w:left="142"/>
              <w:jc w:val="center"/>
            </w:pPr>
            <w:r>
              <w:rPr>
                <w:spacing w:val="-2"/>
              </w:rPr>
              <w:t>主任医师</w:t>
            </w:r>
          </w:p>
        </w:tc>
        <w:tc>
          <w:tcPr>
            <w:tcW w:w="814" w:type="dxa"/>
            <w:vAlign w:val="top"/>
          </w:tcPr>
          <w:p>
            <w:pPr>
              <w:pStyle w:val="9"/>
              <w:spacing w:before="205" w:line="240" w:lineRule="auto"/>
              <w:ind w:left="143"/>
              <w:jc w:val="center"/>
            </w:pPr>
            <w:r>
              <w:rPr>
                <w:spacing w:val="-3"/>
              </w:rPr>
              <w:t>本科</w:t>
            </w:r>
          </w:p>
        </w:tc>
        <w:tc>
          <w:tcPr>
            <w:tcW w:w="1152" w:type="dxa"/>
            <w:vAlign w:val="top"/>
          </w:tcPr>
          <w:p>
            <w:pPr>
              <w:pStyle w:val="9"/>
              <w:spacing w:before="202" w:line="240" w:lineRule="auto"/>
              <w:ind w:left="124"/>
              <w:jc w:val="center"/>
            </w:pPr>
            <w:r>
              <w:rPr>
                <w:spacing w:val="-3"/>
              </w:rPr>
              <w:t>本科</w:t>
            </w:r>
          </w:p>
        </w:tc>
        <w:tc>
          <w:tcPr>
            <w:tcW w:w="2787" w:type="dxa"/>
            <w:vAlign w:val="top"/>
          </w:tcPr>
          <w:p>
            <w:pPr>
              <w:pStyle w:val="9"/>
              <w:spacing w:before="63" w:line="240" w:lineRule="auto"/>
              <w:ind w:left="37" w:right="51" w:firstLine="49"/>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691" w:type="dxa"/>
            <w:vAlign w:val="top"/>
          </w:tcPr>
          <w:p>
            <w:pPr>
              <w:spacing w:line="240" w:lineRule="auto"/>
              <w:jc w:val="center"/>
              <w:rPr>
                <w:rFonts w:ascii="Arial"/>
                <w:sz w:val="21"/>
              </w:rPr>
            </w:pPr>
          </w:p>
          <w:p>
            <w:pPr>
              <w:pStyle w:val="9"/>
              <w:spacing w:before="65" w:line="240" w:lineRule="auto"/>
              <w:ind w:left="445"/>
              <w:jc w:val="center"/>
            </w:pPr>
            <w:r>
              <w:t>6</w:t>
            </w:r>
          </w:p>
        </w:tc>
        <w:tc>
          <w:tcPr>
            <w:tcW w:w="1303" w:type="dxa"/>
            <w:vAlign w:val="top"/>
          </w:tcPr>
          <w:p>
            <w:pPr>
              <w:spacing w:line="240" w:lineRule="auto"/>
              <w:jc w:val="center"/>
              <w:rPr>
                <w:rFonts w:ascii="Arial"/>
                <w:sz w:val="21"/>
              </w:rPr>
            </w:pPr>
          </w:p>
          <w:p>
            <w:pPr>
              <w:pStyle w:val="9"/>
              <w:spacing w:before="65" w:line="240" w:lineRule="auto"/>
              <w:ind w:left="101"/>
              <w:jc w:val="center"/>
            </w:pPr>
            <w:r>
              <w:rPr>
                <w:rFonts w:ascii="宋体" w:hAnsi="宋体" w:eastAsia="宋体" w:cs="宋体"/>
                <w:i w:val="0"/>
                <w:iCs w:val="0"/>
                <w:caps w:val="0"/>
                <w:color w:val="333333"/>
                <w:spacing w:val="0"/>
                <w:sz w:val="19"/>
                <w:szCs w:val="19"/>
              </w:rPr>
              <w:t>滕开原</w:t>
            </w:r>
          </w:p>
        </w:tc>
        <w:tc>
          <w:tcPr>
            <w:tcW w:w="1711" w:type="dxa"/>
            <w:vAlign w:val="top"/>
          </w:tcPr>
          <w:p>
            <w:pPr>
              <w:spacing w:line="240" w:lineRule="auto"/>
              <w:jc w:val="center"/>
              <w:rPr>
                <w:rFonts w:ascii="Arial"/>
                <w:sz w:val="21"/>
              </w:rPr>
            </w:pPr>
          </w:p>
          <w:p>
            <w:pPr>
              <w:pStyle w:val="9"/>
              <w:spacing w:before="65" w:line="240" w:lineRule="auto"/>
              <w:ind w:left="142"/>
              <w:jc w:val="center"/>
              <w:rPr>
                <w:rFonts w:hint="default" w:eastAsia="宋体"/>
                <w:lang w:val="en-US" w:eastAsia="zh-CN"/>
              </w:rPr>
            </w:pPr>
            <w:r>
              <w:rPr>
                <w:rFonts w:hint="eastAsia"/>
                <w:lang w:val="en-US" w:eastAsia="zh-CN"/>
              </w:rPr>
              <w:t>副主任医师</w:t>
            </w:r>
          </w:p>
        </w:tc>
        <w:tc>
          <w:tcPr>
            <w:tcW w:w="814" w:type="dxa"/>
            <w:vAlign w:val="top"/>
          </w:tcPr>
          <w:p>
            <w:pPr>
              <w:spacing w:line="240" w:lineRule="auto"/>
              <w:jc w:val="center"/>
              <w:rPr>
                <w:rFonts w:ascii="Arial"/>
                <w:sz w:val="21"/>
              </w:rPr>
            </w:pPr>
          </w:p>
          <w:p>
            <w:pPr>
              <w:pStyle w:val="9"/>
              <w:spacing w:before="65" w:line="240" w:lineRule="auto"/>
              <w:ind w:left="143"/>
              <w:jc w:val="center"/>
              <w:rPr>
                <w:rFonts w:hint="eastAsia" w:eastAsia="宋体"/>
                <w:lang w:eastAsia="zh-CN"/>
              </w:rPr>
            </w:pPr>
            <w:r>
              <w:rPr>
                <w:rFonts w:hint="eastAsia"/>
                <w:spacing w:val="-3"/>
                <w:lang w:val="en-US" w:eastAsia="zh-CN"/>
              </w:rPr>
              <w:t>硕士</w:t>
            </w:r>
          </w:p>
        </w:tc>
        <w:tc>
          <w:tcPr>
            <w:tcW w:w="1152" w:type="dxa"/>
            <w:vAlign w:val="top"/>
          </w:tcPr>
          <w:p>
            <w:pPr>
              <w:spacing w:line="240" w:lineRule="auto"/>
              <w:jc w:val="center"/>
              <w:rPr>
                <w:rFonts w:ascii="Arial"/>
                <w:sz w:val="21"/>
              </w:rPr>
            </w:pPr>
          </w:p>
          <w:p>
            <w:pPr>
              <w:pStyle w:val="9"/>
              <w:spacing w:before="65" w:line="240" w:lineRule="auto"/>
              <w:ind w:left="124"/>
              <w:jc w:val="center"/>
            </w:pPr>
            <w:r>
              <w:rPr>
                <w:spacing w:val="-2"/>
              </w:rPr>
              <w:t>研究生</w:t>
            </w:r>
          </w:p>
        </w:tc>
        <w:tc>
          <w:tcPr>
            <w:tcW w:w="2787" w:type="dxa"/>
            <w:vAlign w:val="top"/>
          </w:tcPr>
          <w:p>
            <w:pPr>
              <w:pStyle w:val="9"/>
              <w:spacing w:before="65"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91" w:type="dxa"/>
            <w:vAlign w:val="top"/>
          </w:tcPr>
          <w:p>
            <w:pPr>
              <w:pStyle w:val="9"/>
              <w:spacing w:before="109" w:line="240" w:lineRule="auto"/>
              <w:ind w:left="445"/>
              <w:jc w:val="center"/>
            </w:pPr>
            <w:r>
              <w:t>7</w:t>
            </w:r>
          </w:p>
        </w:tc>
        <w:tc>
          <w:tcPr>
            <w:tcW w:w="1303" w:type="dxa"/>
            <w:vAlign w:val="top"/>
          </w:tcPr>
          <w:p>
            <w:pPr>
              <w:pStyle w:val="9"/>
              <w:spacing w:before="58" w:line="240" w:lineRule="auto"/>
              <w:ind w:left="101"/>
              <w:jc w:val="center"/>
            </w:pPr>
            <w:r>
              <w:rPr>
                <w:rFonts w:ascii="宋体" w:hAnsi="宋体" w:eastAsia="宋体" w:cs="宋体"/>
                <w:i w:val="0"/>
                <w:iCs w:val="0"/>
                <w:caps w:val="0"/>
                <w:color w:val="333333"/>
                <w:spacing w:val="0"/>
                <w:sz w:val="19"/>
                <w:szCs w:val="19"/>
              </w:rPr>
              <w:t>周永涛</w:t>
            </w:r>
          </w:p>
        </w:tc>
        <w:tc>
          <w:tcPr>
            <w:tcW w:w="1711" w:type="dxa"/>
            <w:vAlign w:val="top"/>
          </w:tcPr>
          <w:p>
            <w:pPr>
              <w:pStyle w:val="9"/>
              <w:spacing w:before="56" w:line="240" w:lineRule="auto"/>
              <w:ind w:left="142"/>
              <w:jc w:val="center"/>
            </w:pPr>
            <w:r>
              <w:rPr>
                <w:rFonts w:hint="eastAsia"/>
                <w:lang w:val="en-US" w:eastAsia="zh-CN"/>
              </w:rPr>
              <w:t>副主任医师</w:t>
            </w:r>
          </w:p>
        </w:tc>
        <w:tc>
          <w:tcPr>
            <w:tcW w:w="814" w:type="dxa"/>
            <w:vAlign w:val="top"/>
          </w:tcPr>
          <w:p>
            <w:pPr>
              <w:pStyle w:val="9"/>
              <w:spacing w:before="57" w:line="240" w:lineRule="auto"/>
              <w:ind w:left="143"/>
              <w:jc w:val="center"/>
            </w:pPr>
            <w:r>
              <w:rPr>
                <w:spacing w:val="-3"/>
              </w:rPr>
              <w:t>本科</w:t>
            </w:r>
          </w:p>
        </w:tc>
        <w:tc>
          <w:tcPr>
            <w:tcW w:w="1152" w:type="dxa"/>
            <w:vAlign w:val="top"/>
          </w:tcPr>
          <w:p>
            <w:pPr>
              <w:pStyle w:val="9"/>
              <w:spacing w:before="55" w:line="240" w:lineRule="auto"/>
              <w:ind w:left="124"/>
              <w:jc w:val="center"/>
            </w:pPr>
            <w:r>
              <w:rPr>
                <w:spacing w:val="-3"/>
              </w:rPr>
              <w:t>本科</w:t>
            </w:r>
          </w:p>
        </w:tc>
        <w:tc>
          <w:tcPr>
            <w:tcW w:w="2787" w:type="dxa"/>
            <w:vAlign w:val="top"/>
          </w:tcPr>
          <w:p>
            <w:pPr>
              <w:pStyle w:val="9"/>
              <w:spacing w:before="55"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91" w:type="dxa"/>
            <w:vAlign w:val="top"/>
          </w:tcPr>
          <w:p>
            <w:pPr>
              <w:pStyle w:val="9"/>
              <w:spacing w:before="110" w:line="240" w:lineRule="auto"/>
              <w:ind w:left="445"/>
              <w:jc w:val="center"/>
            </w:pPr>
            <w:r>
              <w:t>9</w:t>
            </w:r>
          </w:p>
        </w:tc>
        <w:tc>
          <w:tcPr>
            <w:tcW w:w="1303" w:type="dxa"/>
            <w:vAlign w:val="top"/>
          </w:tcPr>
          <w:p>
            <w:pPr>
              <w:pStyle w:val="9"/>
              <w:spacing w:before="57" w:line="240" w:lineRule="auto"/>
              <w:ind w:left="101"/>
              <w:jc w:val="center"/>
              <w:rPr>
                <w:rFonts w:hint="eastAsia" w:eastAsia="宋体"/>
                <w:lang w:val="en-US" w:eastAsia="zh-CN"/>
              </w:rPr>
            </w:pPr>
            <w:r>
              <w:rPr>
                <w:rFonts w:hint="eastAsia"/>
                <w:lang w:val="en-US" w:eastAsia="zh-CN"/>
              </w:rPr>
              <w:t>洪亮</w:t>
            </w:r>
          </w:p>
        </w:tc>
        <w:tc>
          <w:tcPr>
            <w:tcW w:w="1711" w:type="dxa"/>
            <w:vAlign w:val="top"/>
          </w:tcPr>
          <w:p>
            <w:pPr>
              <w:pStyle w:val="9"/>
              <w:spacing w:before="58" w:line="240" w:lineRule="auto"/>
              <w:ind w:left="142"/>
              <w:jc w:val="center"/>
            </w:pPr>
            <w:r>
              <w:rPr>
                <w:rFonts w:hint="eastAsia"/>
                <w:lang w:val="en-US" w:eastAsia="zh-CN"/>
              </w:rPr>
              <w:t>副主任医师</w:t>
            </w:r>
          </w:p>
        </w:tc>
        <w:tc>
          <w:tcPr>
            <w:tcW w:w="814" w:type="dxa"/>
            <w:vAlign w:val="top"/>
          </w:tcPr>
          <w:p>
            <w:pPr>
              <w:spacing w:line="240" w:lineRule="auto"/>
              <w:jc w:val="center"/>
              <w:rPr>
                <w:rFonts w:ascii="Arial"/>
                <w:sz w:val="21"/>
              </w:rPr>
            </w:pPr>
          </w:p>
          <w:p>
            <w:pPr>
              <w:pStyle w:val="9"/>
              <w:spacing w:before="65" w:line="240" w:lineRule="auto"/>
              <w:ind w:left="143" w:leftChars="0"/>
              <w:jc w:val="center"/>
            </w:pPr>
            <w:r>
              <w:rPr>
                <w:rFonts w:hint="eastAsia"/>
                <w:spacing w:val="-3"/>
                <w:lang w:val="en-US" w:eastAsia="zh-CN"/>
              </w:rPr>
              <w:t>硕士</w:t>
            </w:r>
          </w:p>
        </w:tc>
        <w:tc>
          <w:tcPr>
            <w:tcW w:w="1152" w:type="dxa"/>
            <w:vAlign w:val="top"/>
          </w:tcPr>
          <w:p>
            <w:pPr>
              <w:spacing w:line="240" w:lineRule="auto"/>
              <w:jc w:val="center"/>
              <w:rPr>
                <w:rFonts w:ascii="Arial"/>
                <w:sz w:val="21"/>
              </w:rPr>
            </w:pPr>
          </w:p>
          <w:p>
            <w:pPr>
              <w:pStyle w:val="9"/>
              <w:spacing w:before="65" w:line="240" w:lineRule="auto"/>
              <w:ind w:left="124" w:leftChars="0"/>
              <w:jc w:val="center"/>
            </w:pPr>
            <w:r>
              <w:rPr>
                <w:spacing w:val="-2"/>
              </w:rPr>
              <w:t>研究生</w:t>
            </w:r>
          </w:p>
        </w:tc>
        <w:tc>
          <w:tcPr>
            <w:tcW w:w="2787" w:type="dxa"/>
            <w:vAlign w:val="top"/>
          </w:tcPr>
          <w:p>
            <w:pPr>
              <w:pStyle w:val="9"/>
              <w:spacing w:before="59" w:line="240" w:lineRule="auto"/>
              <w:jc w:val="center"/>
            </w:pPr>
            <w:r>
              <w:rPr>
                <w:rFonts w:ascii="宋体" w:hAnsi="宋体" w:eastAsia="宋体" w:cs="宋体"/>
                <w:i w:val="0"/>
                <w:iCs w:val="0"/>
                <w:caps w:val="0"/>
                <w:color w:val="333333"/>
                <w:spacing w:val="0"/>
                <w:sz w:val="19"/>
                <w:szCs w:val="19"/>
              </w:rPr>
              <w:t>擅长于</w:t>
            </w:r>
            <w:r>
              <w:rPr>
                <w:rFonts w:hint="eastAsia"/>
              </w:rPr>
              <w:t>中枢神经系统肿瘤、腹部恶性肿瘤、乳腺癌、淋巴瘤等恶性肿瘤的精准放射治疗和综合治疗。</w:t>
            </w:r>
          </w:p>
        </w:tc>
      </w:tr>
    </w:tbl>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94" w:lineRule="auto"/>
        <w:rPr>
          <w:rFonts w:ascii="Arial"/>
          <w:sz w:val="21"/>
        </w:rPr>
      </w:pPr>
    </w:p>
    <w:p>
      <w:pPr>
        <w:spacing w:line="294" w:lineRule="auto"/>
        <w:rPr>
          <w:rFonts w:ascii="Arial"/>
          <w:sz w:val="21"/>
        </w:rPr>
      </w:pPr>
    </w:p>
    <w:p>
      <w:pPr>
        <w:spacing w:before="97" w:line="222" w:lineRule="auto"/>
        <w:ind w:left="532"/>
        <w:rPr>
          <w:rFonts w:ascii="黑体" w:hAnsi="黑体" w:eastAsia="黑体" w:cs="黑体"/>
          <w:sz w:val="30"/>
          <w:szCs w:val="30"/>
        </w:rPr>
      </w:pPr>
      <w:bookmarkStart w:id="2" w:name="bookmark3"/>
      <w:bookmarkEnd w:id="2"/>
      <w:bookmarkStart w:id="3" w:name="bookmark4"/>
      <w:bookmarkEnd w:id="3"/>
      <w:r>
        <w:rPr>
          <w:rFonts w:ascii="黑体" w:hAnsi="黑体" w:eastAsia="黑体" w:cs="黑体"/>
          <w:b/>
          <w:bCs/>
          <w:spacing w:val="-11"/>
          <w:sz w:val="30"/>
          <w:szCs w:val="30"/>
        </w:rPr>
        <w:t>进修生招收要求：</w:t>
      </w:r>
    </w:p>
    <w:p>
      <w:pPr>
        <w:pStyle w:val="2"/>
        <w:spacing w:before="244" w:line="219" w:lineRule="auto"/>
        <w:ind w:left="420" w:leftChars="0" w:firstLine="0" w:firstLineChars="0"/>
      </w:pPr>
      <w:r>
        <w:rPr>
          <w:spacing w:val="3"/>
        </w:rPr>
        <w:t>招收时间：20</w:t>
      </w:r>
      <w:r>
        <w:rPr>
          <w:rFonts w:hint="eastAsia"/>
          <w:spacing w:val="3"/>
          <w:lang w:val="en-US" w:eastAsia="zh-CN"/>
        </w:rPr>
        <w:t>24</w:t>
      </w:r>
      <w:r>
        <w:rPr>
          <w:spacing w:val="3"/>
        </w:rPr>
        <w:t>年</w:t>
      </w:r>
    </w:p>
    <w:p>
      <w:pPr>
        <w:pStyle w:val="2"/>
        <w:spacing w:before="269" w:line="383" w:lineRule="auto"/>
        <w:ind w:left="420" w:leftChars="0" w:right="1502" w:firstLine="0" w:firstLineChars="0"/>
      </w:pPr>
      <w:r>
        <w:rPr>
          <w:spacing w:val="1"/>
        </w:rPr>
        <w:t>条件要求(学历、年龄等):</w:t>
      </w:r>
      <w:r>
        <w:rPr>
          <w:rFonts w:hint="eastAsia"/>
          <w:spacing w:val="1"/>
          <w:lang w:val="en-US" w:eastAsia="zh-CN"/>
        </w:rPr>
        <w:t>放射治疗</w:t>
      </w:r>
      <w:r>
        <w:rPr>
          <w:spacing w:val="1"/>
        </w:rPr>
        <w:t>、临床专</w:t>
      </w:r>
      <w:r>
        <w:t xml:space="preserve">业的相关医务人员； </w:t>
      </w:r>
      <w:r>
        <w:rPr>
          <w:spacing w:val="1"/>
        </w:rPr>
        <w:t>原则上要求本科以上学历(特殊情况大专学历也可),具备执业医师</w:t>
      </w:r>
      <w:r>
        <w:rPr>
          <w:spacing w:val="-5"/>
        </w:rPr>
        <w:t>资格证及注册证；无年龄限制。</w:t>
      </w:r>
    </w:p>
    <w:p>
      <w:pPr>
        <w:pStyle w:val="2"/>
        <w:spacing w:before="299" w:line="569" w:lineRule="exact"/>
        <w:ind w:left="420" w:leftChars="0" w:firstLine="0" w:firstLineChars="0"/>
      </w:pPr>
      <w:r>
        <w:rPr>
          <w:spacing w:val="12"/>
          <w:position w:val="22"/>
        </w:rPr>
        <w:t>进修时限要求:原则上为6个月以上</w:t>
      </w:r>
      <w:r>
        <w:rPr>
          <w:spacing w:val="11"/>
          <w:position w:val="22"/>
        </w:rPr>
        <w:t>。</w:t>
      </w:r>
    </w:p>
    <w:p>
      <w:pPr>
        <w:spacing w:before="1" w:line="220" w:lineRule="auto"/>
        <w:ind w:left="528"/>
        <w:rPr>
          <w:rFonts w:ascii="黑体" w:hAnsi="黑体" w:eastAsia="黑体" w:cs="黑体"/>
          <w:sz w:val="30"/>
          <w:szCs w:val="30"/>
        </w:rPr>
      </w:pPr>
      <w:r>
        <w:rPr>
          <w:rFonts w:ascii="黑体" w:hAnsi="黑体" w:eastAsia="黑体" w:cs="黑体"/>
          <w:sz w:val="30"/>
          <w:szCs w:val="30"/>
        </w:rPr>
        <w:t>进修生培养方案：</w:t>
      </w:r>
    </w:p>
    <w:p>
      <w:pPr>
        <w:pStyle w:val="2"/>
        <w:spacing w:before="235" w:line="410" w:lineRule="auto"/>
        <w:ind w:left="528" w:right="1280" w:firstLine="560"/>
        <w:rPr>
          <w:rFonts w:hint="default" w:eastAsia="宋体"/>
          <w:lang w:val="en-US" w:eastAsia="zh-CN"/>
        </w:rPr>
      </w:pPr>
      <w:r>
        <w:rPr>
          <w:spacing w:val="2"/>
        </w:rPr>
        <w:t>培养周期原则上为6个月以上</w:t>
      </w:r>
      <w:r>
        <w:rPr>
          <w:spacing w:val="1"/>
        </w:rPr>
        <w:t>，岗位安排</w:t>
      </w:r>
      <w:r>
        <w:t xml:space="preserve"> </w:t>
      </w:r>
      <w:r>
        <w:rPr>
          <w:spacing w:val="-8"/>
        </w:rPr>
        <w:t>全部安排在</w:t>
      </w:r>
      <w:r>
        <w:rPr>
          <w:rFonts w:hint="eastAsia"/>
          <w:spacing w:val="-8"/>
          <w:lang w:val="en-US" w:eastAsia="zh-CN"/>
        </w:rPr>
        <w:t>放射肿瘤科</w:t>
      </w:r>
      <w:r>
        <w:rPr>
          <w:spacing w:val="-8"/>
        </w:rPr>
        <w:t>，跟随带教医师每周完成</w:t>
      </w:r>
      <w:r>
        <w:rPr>
          <w:rFonts w:hint="eastAsia"/>
          <w:spacing w:val="-8"/>
          <w:lang w:val="en-US" w:eastAsia="zh-CN"/>
        </w:rPr>
        <w:t>肿瘤靶区勾画</w:t>
      </w:r>
      <w:r>
        <w:rPr>
          <w:spacing w:val="-8"/>
        </w:rPr>
        <w:t>、治疗及其</w:t>
      </w:r>
      <w:r>
        <w:rPr>
          <w:spacing w:val="-9"/>
        </w:rPr>
        <w:t>相关</w:t>
      </w:r>
      <w:r>
        <w:rPr>
          <w:spacing w:val="-6"/>
        </w:rPr>
        <w:t>检查工作。每批连同当年入科的规培生进行系列的专题讲座及疑难病</w:t>
      </w:r>
      <w:r>
        <w:rPr>
          <w:spacing w:val="-5"/>
        </w:rPr>
        <w:t>例讨论，内容覆盖本学科的理论、技术及最</w:t>
      </w:r>
      <w:r>
        <w:rPr>
          <w:spacing w:val="-6"/>
        </w:rPr>
        <w:t>新进展。参加医院组织的各类学术活动。在上级医生的带领指导下，能独立进行常见疾病的</w:t>
      </w:r>
      <w:r>
        <w:rPr>
          <w:rFonts w:hint="eastAsia"/>
          <w:spacing w:val="-5"/>
          <w:lang w:val="en-US" w:eastAsia="zh-CN"/>
        </w:rPr>
        <w:t>放射治疗</w:t>
      </w:r>
      <w:r>
        <w:rPr>
          <w:spacing w:val="-5"/>
        </w:rPr>
        <w:t>，对复杂</w:t>
      </w:r>
      <w:r>
        <w:rPr>
          <w:rFonts w:hint="eastAsia"/>
          <w:spacing w:val="-5"/>
          <w:lang w:val="en-US" w:eastAsia="zh-CN"/>
        </w:rPr>
        <w:t>靶区</w:t>
      </w:r>
      <w:r>
        <w:rPr>
          <w:spacing w:val="-5"/>
        </w:rPr>
        <w:t>进行初步分析，并进行相关的临床病例总结</w:t>
      </w:r>
      <w:r>
        <w:rPr>
          <w:spacing w:val="-12"/>
        </w:rPr>
        <w:t>工作</w:t>
      </w:r>
      <w:r>
        <w:rPr>
          <w:rFonts w:hint="eastAsia"/>
          <w:spacing w:val="-12"/>
          <w:lang w:val="en-US" w:eastAsia="zh-CN"/>
        </w:rPr>
        <w:t>及科研工作。</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58" w:line="219" w:lineRule="auto"/>
        <w:rPr>
          <w:spacing w:val="-7"/>
          <w:sz w:val="18"/>
          <w:szCs w:val="18"/>
        </w:rPr>
      </w:pPr>
    </w:p>
    <w:p>
      <w:pPr>
        <w:pStyle w:val="2"/>
        <w:spacing w:before="58" w:line="219" w:lineRule="auto"/>
        <w:rPr>
          <w:spacing w:val="-7"/>
          <w:sz w:val="18"/>
          <w:szCs w:val="18"/>
        </w:rPr>
      </w:pPr>
    </w:p>
    <w:p>
      <w:pPr>
        <w:pStyle w:val="2"/>
        <w:spacing w:before="58" w:line="219" w:lineRule="auto"/>
        <w:rPr>
          <w:spacing w:val="-7"/>
          <w:sz w:val="18"/>
          <w:szCs w:val="18"/>
        </w:rPr>
      </w:pPr>
    </w:p>
    <w:p>
      <w:pPr>
        <w:pStyle w:val="2"/>
        <w:spacing w:before="62" w:line="219" w:lineRule="auto"/>
        <w:ind w:left="599"/>
        <w:rPr>
          <w:b/>
          <w:bCs/>
          <w:spacing w:val="4"/>
          <w:sz w:val="31"/>
          <w:szCs w:val="31"/>
        </w:rPr>
      </w:pPr>
    </w:p>
    <w:p>
      <w:pPr>
        <w:pStyle w:val="2"/>
        <w:spacing w:before="62" w:line="219" w:lineRule="auto"/>
        <w:ind w:left="599"/>
        <w:rPr>
          <w:sz w:val="31"/>
          <w:szCs w:val="31"/>
        </w:rPr>
      </w:pPr>
      <w:r>
        <w:rPr>
          <w:b/>
          <w:bCs/>
          <w:spacing w:val="4"/>
          <w:sz w:val="31"/>
          <w:szCs w:val="31"/>
        </w:rPr>
        <w:t>培养内容(</w:t>
      </w:r>
      <w:r>
        <w:rPr>
          <w:rFonts w:hint="eastAsia"/>
          <w:b/>
          <w:bCs/>
          <w:spacing w:val="4"/>
          <w:sz w:val="31"/>
          <w:szCs w:val="31"/>
          <w:lang w:val="en-US" w:eastAsia="zh-CN"/>
        </w:rPr>
        <w:t>学习时间：</w:t>
      </w:r>
      <w:r>
        <w:rPr>
          <w:b/>
          <w:bCs/>
          <w:spacing w:val="4"/>
          <w:sz w:val="31"/>
          <w:szCs w:val="31"/>
        </w:rPr>
        <w:t>六个月</w:t>
      </w:r>
      <w:r>
        <w:rPr>
          <w:rFonts w:hint="eastAsia"/>
          <w:b/>
          <w:bCs/>
          <w:spacing w:val="4"/>
          <w:sz w:val="31"/>
          <w:szCs w:val="31"/>
          <w:lang w:val="en-US" w:eastAsia="zh-CN"/>
        </w:rPr>
        <w:t>至一年</w:t>
      </w:r>
      <w:r>
        <w:rPr>
          <w:b/>
          <w:bCs/>
          <w:spacing w:val="4"/>
          <w:sz w:val="31"/>
          <w:szCs w:val="31"/>
        </w:rPr>
        <w:t>)</w:t>
      </w:r>
    </w:p>
    <w:p>
      <w:pPr>
        <w:spacing w:line="148" w:lineRule="exact"/>
      </w:pPr>
    </w:p>
    <w:tbl>
      <w:tblPr>
        <w:tblStyle w:val="8"/>
        <w:tblW w:w="94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3447"/>
        <w:gridCol w:w="1986"/>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584" w:type="dxa"/>
            <w:vAlign w:val="top"/>
          </w:tcPr>
          <w:p>
            <w:pPr>
              <w:pStyle w:val="9"/>
              <w:spacing w:before="170" w:line="219" w:lineRule="auto"/>
              <w:ind w:left="748"/>
              <w:rPr>
                <w:sz w:val="21"/>
                <w:szCs w:val="21"/>
              </w:rPr>
            </w:pPr>
            <w:r>
              <w:rPr>
                <w:b/>
                <w:bCs/>
                <w:spacing w:val="-4"/>
                <w:sz w:val="21"/>
                <w:szCs w:val="21"/>
              </w:rPr>
              <w:t>培训内容</w:t>
            </w:r>
          </w:p>
        </w:tc>
        <w:tc>
          <w:tcPr>
            <w:tcW w:w="3447" w:type="dxa"/>
            <w:vAlign w:val="top"/>
          </w:tcPr>
          <w:p>
            <w:pPr>
              <w:pStyle w:val="9"/>
              <w:spacing w:before="174" w:line="220" w:lineRule="auto"/>
              <w:ind w:left="1142"/>
              <w:rPr>
                <w:sz w:val="21"/>
                <w:szCs w:val="21"/>
              </w:rPr>
            </w:pPr>
            <w:r>
              <w:rPr>
                <w:spacing w:val="-2"/>
                <w:sz w:val="21"/>
                <w:szCs w:val="21"/>
              </w:rPr>
              <w:t>预期目标</w:t>
            </w:r>
          </w:p>
        </w:tc>
        <w:tc>
          <w:tcPr>
            <w:tcW w:w="1986" w:type="dxa"/>
            <w:vAlign w:val="top"/>
          </w:tcPr>
          <w:p>
            <w:pPr>
              <w:pStyle w:val="9"/>
              <w:spacing w:before="174" w:line="220" w:lineRule="auto"/>
              <w:ind w:left="476"/>
              <w:rPr>
                <w:sz w:val="21"/>
                <w:szCs w:val="21"/>
              </w:rPr>
            </w:pPr>
            <w:r>
              <w:rPr>
                <w:spacing w:val="-2"/>
                <w:sz w:val="21"/>
                <w:szCs w:val="21"/>
              </w:rPr>
              <w:t>培训形式</w:t>
            </w:r>
          </w:p>
        </w:tc>
        <w:tc>
          <w:tcPr>
            <w:tcW w:w="1441" w:type="dxa"/>
            <w:vAlign w:val="top"/>
          </w:tcPr>
          <w:p>
            <w:pPr>
              <w:pStyle w:val="9"/>
              <w:spacing w:before="173" w:line="219" w:lineRule="auto"/>
              <w:ind w:left="229"/>
              <w:rPr>
                <w:sz w:val="21"/>
                <w:szCs w:val="21"/>
              </w:rPr>
            </w:pPr>
            <w:r>
              <w:rPr>
                <w:spacing w:val="2"/>
                <w:sz w:val="21"/>
                <w:szCs w:val="21"/>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2584" w:type="dxa"/>
            <w:vAlign w:val="top"/>
          </w:tcPr>
          <w:p>
            <w:pPr>
              <w:pStyle w:val="9"/>
              <w:spacing w:before="69" w:line="219" w:lineRule="auto"/>
              <w:jc w:val="both"/>
              <w:rPr>
                <w:sz w:val="36"/>
                <w:szCs w:val="36"/>
              </w:rPr>
            </w:pPr>
            <w:r>
              <w:rPr>
                <w:rFonts w:hint="eastAsia" w:ascii="微软雅黑" w:hAnsi="微软雅黑" w:eastAsia="微软雅黑" w:cs="微软雅黑"/>
                <w:i w:val="0"/>
                <w:iCs w:val="0"/>
                <w:caps w:val="0"/>
                <w:color w:val="333333"/>
                <w:spacing w:val="0"/>
                <w:sz w:val="28"/>
                <w:szCs w:val="28"/>
                <w:shd w:val="clear" w:fill="FFFFFF"/>
                <w:lang w:val="en-US" w:eastAsia="zh-CN"/>
              </w:rPr>
              <w:t>1.</w:t>
            </w:r>
            <w:r>
              <w:rPr>
                <w:rFonts w:ascii="微软雅黑" w:hAnsi="微软雅黑" w:eastAsia="微软雅黑" w:cs="微软雅黑"/>
                <w:i w:val="0"/>
                <w:iCs w:val="0"/>
                <w:caps w:val="0"/>
                <w:color w:val="333333"/>
                <w:spacing w:val="0"/>
                <w:sz w:val="28"/>
                <w:szCs w:val="28"/>
                <w:shd w:val="clear" w:fill="FFFFFF"/>
              </w:rPr>
              <w:t>放疗科常见恶性肿瘤（胶质瘤、淋巴瘤、直肠癌、乳腺癌等）的临床特点，诊断标准，综合治疗原则，放射治疗原则和适应症。</w:t>
            </w:r>
          </w:p>
        </w:tc>
        <w:tc>
          <w:tcPr>
            <w:tcW w:w="3447" w:type="dxa"/>
            <w:vAlign w:val="top"/>
          </w:tcPr>
          <w:p>
            <w:pPr>
              <w:pStyle w:val="9"/>
              <w:spacing w:before="69" w:line="259" w:lineRule="auto"/>
              <w:ind w:right="193"/>
              <w:jc w:val="both"/>
              <w:rPr>
                <w:sz w:val="36"/>
                <w:szCs w:val="36"/>
              </w:rPr>
            </w:pPr>
            <w:r>
              <w:rPr>
                <w:rFonts w:ascii="微软雅黑" w:hAnsi="微软雅黑" w:eastAsia="微软雅黑" w:cs="微软雅黑"/>
                <w:i w:val="0"/>
                <w:iCs w:val="0"/>
                <w:caps w:val="0"/>
                <w:color w:val="333333"/>
                <w:spacing w:val="0"/>
                <w:sz w:val="28"/>
                <w:szCs w:val="28"/>
                <w:shd w:val="clear" w:fill="FFFFFF"/>
              </w:rPr>
              <w:t>掌握放疗科治疗原则，常见恶性肿瘤放疗科治疗规范；肿瘤放疗适应症、禁忌症</w:t>
            </w:r>
          </w:p>
          <w:p>
            <w:pPr>
              <w:pStyle w:val="9"/>
              <w:spacing w:before="69" w:line="259" w:lineRule="auto"/>
              <w:ind w:left="192" w:right="193"/>
              <w:jc w:val="both"/>
              <w:rPr>
                <w:sz w:val="36"/>
                <w:szCs w:val="36"/>
              </w:rPr>
            </w:pPr>
          </w:p>
          <w:p>
            <w:pPr>
              <w:pStyle w:val="9"/>
              <w:spacing w:before="69" w:line="259" w:lineRule="auto"/>
              <w:ind w:left="192" w:right="193"/>
              <w:jc w:val="both"/>
              <w:rPr>
                <w:sz w:val="36"/>
                <w:szCs w:val="36"/>
              </w:rPr>
            </w:pPr>
          </w:p>
          <w:p>
            <w:pPr>
              <w:pStyle w:val="9"/>
              <w:spacing w:before="69" w:line="259" w:lineRule="auto"/>
              <w:ind w:right="193"/>
              <w:jc w:val="both"/>
              <w:rPr>
                <w:sz w:val="36"/>
                <w:szCs w:val="36"/>
              </w:rPr>
            </w:pPr>
          </w:p>
        </w:tc>
        <w:tc>
          <w:tcPr>
            <w:tcW w:w="1986" w:type="dxa"/>
            <w:vAlign w:val="top"/>
          </w:tcPr>
          <w:p>
            <w:pPr>
              <w:pStyle w:val="9"/>
              <w:spacing w:before="220" w:line="220" w:lineRule="auto"/>
              <w:ind w:right="6"/>
              <w:jc w:val="center"/>
              <w:rPr>
                <w:sz w:val="24"/>
                <w:szCs w:val="24"/>
              </w:rPr>
            </w:pPr>
            <w:r>
              <w:rPr>
                <w:sz w:val="24"/>
                <w:szCs w:val="24"/>
              </w:rPr>
              <w:t>1.以《</w:t>
            </w:r>
            <w:r>
              <w:rPr>
                <w:rFonts w:hint="eastAsia"/>
                <w:sz w:val="24"/>
                <w:szCs w:val="24"/>
                <w:lang w:val="en-US" w:eastAsia="zh-CN"/>
              </w:rPr>
              <w:t>肿瘤放射治疗学</w:t>
            </w:r>
            <w:r>
              <w:rPr>
                <w:sz w:val="24"/>
                <w:szCs w:val="24"/>
              </w:rPr>
              <w:t>》</w:t>
            </w:r>
            <w:r>
              <w:rPr>
                <w:spacing w:val="-2"/>
                <w:sz w:val="24"/>
                <w:szCs w:val="24"/>
              </w:rPr>
              <w:t>为基本教材教</w:t>
            </w:r>
            <w:r>
              <w:rPr>
                <w:spacing w:val="2"/>
                <w:sz w:val="24"/>
                <w:szCs w:val="24"/>
              </w:rPr>
              <w:t>学。</w:t>
            </w:r>
          </w:p>
          <w:p>
            <w:pPr>
              <w:pStyle w:val="9"/>
              <w:spacing w:before="37" w:line="219" w:lineRule="auto"/>
              <w:ind w:left="166"/>
              <w:rPr>
                <w:sz w:val="24"/>
                <w:szCs w:val="24"/>
              </w:rPr>
            </w:pPr>
            <w:r>
              <w:rPr>
                <w:spacing w:val="1"/>
                <w:sz w:val="24"/>
                <w:szCs w:val="24"/>
              </w:rPr>
              <w:t>2.教师示范及实</w:t>
            </w:r>
          </w:p>
          <w:p>
            <w:pPr>
              <w:pStyle w:val="9"/>
              <w:spacing w:before="61" w:line="219" w:lineRule="auto"/>
              <w:ind w:left="526"/>
              <w:rPr>
                <w:sz w:val="24"/>
                <w:szCs w:val="24"/>
              </w:rPr>
            </w:pPr>
            <w:r>
              <w:rPr>
                <w:spacing w:val="1"/>
                <w:sz w:val="24"/>
                <w:szCs w:val="24"/>
              </w:rPr>
              <w:t>践操作。</w:t>
            </w:r>
          </w:p>
          <w:p>
            <w:pPr>
              <w:pStyle w:val="9"/>
              <w:spacing w:before="80" w:line="219" w:lineRule="auto"/>
              <w:ind w:left="166"/>
              <w:rPr>
                <w:sz w:val="24"/>
                <w:szCs w:val="24"/>
              </w:rPr>
            </w:pPr>
            <w:r>
              <w:rPr>
                <w:spacing w:val="1"/>
                <w:sz w:val="24"/>
                <w:szCs w:val="24"/>
              </w:rPr>
              <w:t>3.结合临床及手</w:t>
            </w:r>
          </w:p>
          <w:p>
            <w:pPr>
              <w:pStyle w:val="9"/>
              <w:spacing w:before="61" w:line="219" w:lineRule="auto"/>
              <w:ind w:left="166"/>
              <w:rPr>
                <w:sz w:val="24"/>
                <w:szCs w:val="24"/>
              </w:rPr>
            </w:pPr>
            <w:r>
              <w:rPr>
                <w:spacing w:val="1"/>
                <w:sz w:val="24"/>
                <w:szCs w:val="24"/>
              </w:rPr>
              <w:t>术结果分析典型</w:t>
            </w:r>
          </w:p>
          <w:p>
            <w:pPr>
              <w:pStyle w:val="9"/>
              <w:spacing w:before="51" w:line="219" w:lineRule="auto"/>
              <w:ind w:left="217"/>
              <w:rPr>
                <w:sz w:val="24"/>
                <w:szCs w:val="24"/>
              </w:rPr>
            </w:pPr>
            <w:r>
              <w:rPr>
                <w:spacing w:val="-1"/>
                <w:sz w:val="24"/>
                <w:szCs w:val="24"/>
              </w:rPr>
              <w:t>与非典型病例。</w:t>
            </w:r>
          </w:p>
          <w:p>
            <w:pPr>
              <w:pStyle w:val="9"/>
              <w:spacing w:before="61" w:line="219" w:lineRule="auto"/>
              <w:ind w:left="317"/>
              <w:rPr>
                <w:sz w:val="24"/>
                <w:szCs w:val="24"/>
              </w:rPr>
            </w:pPr>
            <w:r>
              <w:rPr>
                <w:sz w:val="24"/>
                <w:szCs w:val="24"/>
              </w:rPr>
              <w:t>4.专题讲座。</w:t>
            </w:r>
          </w:p>
        </w:tc>
        <w:tc>
          <w:tcPr>
            <w:tcW w:w="1441" w:type="dxa"/>
            <w:vAlign w:val="top"/>
          </w:tcPr>
          <w:p>
            <w:pPr>
              <w:pStyle w:val="9"/>
              <w:spacing w:before="37" w:line="219" w:lineRule="auto"/>
              <w:ind w:left="166"/>
              <w:rPr>
                <w:rFonts w:hint="eastAsia"/>
                <w:spacing w:val="1"/>
                <w:sz w:val="28"/>
                <w:szCs w:val="28"/>
                <w:lang w:val="en-US" w:eastAsia="zh-CN"/>
              </w:rPr>
            </w:pP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吴君心</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李金銮</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陈炬辉</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林培成</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邵凌东</w:t>
            </w:r>
          </w:p>
          <w:p>
            <w:pPr>
              <w:pStyle w:val="9"/>
              <w:spacing w:before="37" w:line="219" w:lineRule="auto"/>
              <w:ind w:left="166"/>
              <w:rPr>
                <w:spacing w:val="1"/>
                <w:sz w:val="28"/>
                <w:szCs w:val="28"/>
              </w:rPr>
            </w:pPr>
            <w:r>
              <w:rPr>
                <w:spacing w:val="1"/>
                <w:sz w:val="28"/>
                <w:szCs w:val="28"/>
              </w:rPr>
              <w:t>程文芳</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陈娜</w:t>
            </w:r>
          </w:p>
          <w:p>
            <w:pPr>
              <w:pStyle w:val="9"/>
              <w:spacing w:before="37" w:line="219" w:lineRule="auto"/>
              <w:ind w:left="166"/>
              <w:rPr>
                <w:spacing w:val="1"/>
                <w:sz w:val="28"/>
                <w:szCs w:val="28"/>
              </w:rPr>
            </w:pPr>
            <w:r>
              <w:rPr>
                <w:spacing w:val="1"/>
                <w:sz w:val="28"/>
                <w:szCs w:val="28"/>
              </w:rPr>
              <w:t>滕开原</w:t>
            </w:r>
          </w:p>
          <w:p>
            <w:pPr>
              <w:pStyle w:val="9"/>
              <w:spacing w:before="37" w:line="219" w:lineRule="auto"/>
              <w:ind w:left="166"/>
              <w:rPr>
                <w:spacing w:val="1"/>
                <w:sz w:val="28"/>
                <w:szCs w:val="28"/>
              </w:rPr>
            </w:pPr>
            <w:r>
              <w:rPr>
                <w:rFonts w:hint="eastAsia"/>
                <w:spacing w:val="1"/>
                <w:sz w:val="28"/>
                <w:szCs w:val="28"/>
                <w:lang w:val="en-US" w:eastAsia="zh-CN"/>
              </w:rPr>
              <w:t>洪亮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2584" w:type="dxa"/>
            <w:vAlign w:val="top"/>
          </w:tcPr>
          <w:p>
            <w:pPr>
              <w:pStyle w:val="9"/>
              <w:spacing w:before="62" w:line="220" w:lineRule="auto"/>
              <w:jc w:val="both"/>
              <w:rPr>
                <w:sz w:val="36"/>
                <w:szCs w:val="36"/>
              </w:rPr>
            </w:pPr>
            <w:r>
              <w:rPr>
                <w:rFonts w:hint="eastAsia" w:ascii="微软雅黑" w:hAnsi="微软雅黑" w:eastAsia="微软雅黑" w:cs="微软雅黑"/>
                <w:i w:val="0"/>
                <w:iCs w:val="0"/>
                <w:caps w:val="0"/>
                <w:color w:val="333333"/>
                <w:spacing w:val="0"/>
                <w:sz w:val="28"/>
                <w:szCs w:val="28"/>
                <w:shd w:val="clear" w:fill="FFFFFF"/>
                <w:lang w:val="en-US" w:eastAsia="zh-CN"/>
              </w:rPr>
              <w:t>2.</w:t>
            </w:r>
            <w:r>
              <w:rPr>
                <w:rFonts w:ascii="微软雅黑" w:hAnsi="微软雅黑" w:eastAsia="微软雅黑" w:cs="微软雅黑"/>
                <w:i w:val="0"/>
                <w:iCs w:val="0"/>
                <w:caps w:val="0"/>
                <w:color w:val="333333"/>
                <w:spacing w:val="0"/>
                <w:sz w:val="28"/>
                <w:szCs w:val="28"/>
                <w:shd w:val="clear" w:fill="FFFFFF"/>
              </w:rPr>
              <w:t>放疗靶区勾画、计划制定、计划评估，各种常见肿瘤</w:t>
            </w:r>
            <w:r>
              <w:rPr>
                <w:rFonts w:hint="eastAsia" w:ascii="微软雅黑" w:hAnsi="微软雅黑" w:eastAsia="微软雅黑" w:cs="微软雅黑"/>
                <w:i w:val="0"/>
                <w:iCs w:val="0"/>
                <w:caps w:val="0"/>
                <w:color w:val="333333"/>
                <w:spacing w:val="0"/>
                <w:sz w:val="28"/>
                <w:szCs w:val="28"/>
                <w:shd w:val="clear" w:fill="FFFFFF"/>
              </w:rPr>
              <w:t>NCCN治疗指南临床应用原则。</w:t>
            </w:r>
          </w:p>
        </w:tc>
        <w:tc>
          <w:tcPr>
            <w:tcW w:w="3447" w:type="dxa"/>
            <w:vAlign w:val="top"/>
          </w:tcPr>
          <w:p>
            <w:pPr>
              <w:pStyle w:val="9"/>
              <w:spacing w:before="70" w:line="206" w:lineRule="auto"/>
              <w:jc w:val="both"/>
              <w:rPr>
                <w:sz w:val="36"/>
                <w:szCs w:val="36"/>
              </w:rPr>
            </w:pPr>
            <w:r>
              <w:rPr>
                <w:rFonts w:ascii="微软雅黑" w:hAnsi="微软雅黑" w:eastAsia="微软雅黑" w:cs="微软雅黑"/>
                <w:i w:val="0"/>
                <w:iCs w:val="0"/>
                <w:caps w:val="0"/>
                <w:color w:val="333333"/>
                <w:spacing w:val="0"/>
                <w:sz w:val="28"/>
                <w:szCs w:val="28"/>
                <w:shd w:val="clear" w:fill="FFFFFF"/>
              </w:rPr>
              <w:t>放疗计划制定，肿瘤相关急症的观察检测和处理</w:t>
            </w:r>
          </w:p>
        </w:tc>
        <w:tc>
          <w:tcPr>
            <w:tcW w:w="1986" w:type="dxa"/>
            <w:vAlign w:val="top"/>
          </w:tcPr>
          <w:p>
            <w:pPr>
              <w:pStyle w:val="9"/>
              <w:spacing w:before="220" w:line="220" w:lineRule="auto"/>
              <w:ind w:right="6"/>
              <w:jc w:val="center"/>
              <w:rPr>
                <w:sz w:val="24"/>
                <w:szCs w:val="24"/>
              </w:rPr>
            </w:pPr>
            <w:r>
              <w:rPr>
                <w:sz w:val="24"/>
                <w:szCs w:val="24"/>
              </w:rPr>
              <w:t>1.以《</w:t>
            </w:r>
            <w:r>
              <w:rPr>
                <w:rFonts w:hint="eastAsia"/>
                <w:sz w:val="24"/>
                <w:szCs w:val="24"/>
                <w:lang w:val="en-US" w:eastAsia="zh-CN"/>
              </w:rPr>
              <w:t>肿瘤放射治疗学</w:t>
            </w:r>
            <w:r>
              <w:rPr>
                <w:sz w:val="24"/>
                <w:szCs w:val="24"/>
              </w:rPr>
              <w:t>》</w:t>
            </w:r>
            <w:r>
              <w:rPr>
                <w:spacing w:val="-2"/>
                <w:sz w:val="24"/>
                <w:szCs w:val="24"/>
              </w:rPr>
              <w:t>为基本教材教</w:t>
            </w:r>
            <w:r>
              <w:rPr>
                <w:spacing w:val="2"/>
                <w:sz w:val="24"/>
                <w:szCs w:val="24"/>
              </w:rPr>
              <w:t>学。</w:t>
            </w:r>
          </w:p>
          <w:p>
            <w:pPr>
              <w:pStyle w:val="9"/>
              <w:spacing w:before="37" w:line="219" w:lineRule="auto"/>
              <w:ind w:left="166"/>
              <w:rPr>
                <w:sz w:val="24"/>
                <w:szCs w:val="24"/>
              </w:rPr>
            </w:pPr>
            <w:r>
              <w:rPr>
                <w:spacing w:val="1"/>
                <w:sz w:val="24"/>
                <w:szCs w:val="24"/>
              </w:rPr>
              <w:t>2.教师示范及实</w:t>
            </w:r>
          </w:p>
          <w:p>
            <w:pPr>
              <w:pStyle w:val="9"/>
              <w:spacing w:before="61" w:line="219" w:lineRule="auto"/>
              <w:ind w:left="526"/>
              <w:rPr>
                <w:sz w:val="24"/>
                <w:szCs w:val="24"/>
              </w:rPr>
            </w:pPr>
            <w:r>
              <w:rPr>
                <w:spacing w:val="1"/>
                <w:sz w:val="24"/>
                <w:szCs w:val="24"/>
              </w:rPr>
              <w:t>践操作。</w:t>
            </w:r>
          </w:p>
          <w:p>
            <w:pPr>
              <w:pStyle w:val="9"/>
              <w:spacing w:before="50" w:line="219" w:lineRule="auto"/>
              <w:ind w:left="317"/>
              <w:rPr>
                <w:sz w:val="24"/>
                <w:szCs w:val="24"/>
              </w:rPr>
            </w:pPr>
            <w:r>
              <w:rPr>
                <w:sz w:val="24"/>
                <w:szCs w:val="24"/>
              </w:rPr>
              <w:t>3.专题讲座。</w:t>
            </w:r>
          </w:p>
        </w:tc>
        <w:tc>
          <w:tcPr>
            <w:tcW w:w="1441" w:type="dxa"/>
            <w:vAlign w:val="top"/>
          </w:tcPr>
          <w:p>
            <w:pPr>
              <w:pStyle w:val="9"/>
              <w:spacing w:before="37" w:line="219" w:lineRule="auto"/>
              <w:ind w:left="166"/>
              <w:rPr>
                <w:spacing w:val="1"/>
                <w:sz w:val="28"/>
                <w:szCs w:val="28"/>
              </w:rPr>
            </w:pP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吴君心</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李金銮</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陈炬辉</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林培成</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邵凌东</w:t>
            </w:r>
          </w:p>
          <w:p>
            <w:pPr>
              <w:pStyle w:val="9"/>
              <w:spacing w:before="37" w:line="219" w:lineRule="auto"/>
              <w:ind w:left="166"/>
              <w:rPr>
                <w:spacing w:val="1"/>
                <w:sz w:val="28"/>
                <w:szCs w:val="28"/>
              </w:rPr>
            </w:pPr>
            <w:r>
              <w:rPr>
                <w:spacing w:val="1"/>
                <w:sz w:val="28"/>
                <w:szCs w:val="28"/>
              </w:rPr>
              <w:t>程文芳</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陈娜</w:t>
            </w:r>
          </w:p>
          <w:p>
            <w:pPr>
              <w:pStyle w:val="9"/>
              <w:spacing w:before="37" w:line="219" w:lineRule="auto"/>
              <w:ind w:left="166"/>
              <w:rPr>
                <w:spacing w:val="1"/>
                <w:sz w:val="28"/>
                <w:szCs w:val="28"/>
              </w:rPr>
            </w:pPr>
            <w:r>
              <w:rPr>
                <w:spacing w:val="1"/>
                <w:sz w:val="28"/>
                <w:szCs w:val="28"/>
              </w:rPr>
              <w:t>滕开原</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洪亮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2584" w:type="dxa"/>
            <w:vAlign w:val="top"/>
          </w:tcPr>
          <w:p>
            <w:pPr>
              <w:pStyle w:val="9"/>
              <w:spacing w:before="50" w:line="219" w:lineRule="auto"/>
              <w:jc w:val="both"/>
              <w:rPr>
                <w:sz w:val="36"/>
                <w:szCs w:val="36"/>
              </w:rPr>
            </w:pPr>
            <w:r>
              <w:rPr>
                <w:rFonts w:hint="eastAsia" w:ascii="微软雅黑" w:hAnsi="微软雅黑" w:eastAsia="微软雅黑" w:cs="微软雅黑"/>
                <w:i w:val="0"/>
                <w:iCs w:val="0"/>
                <w:caps w:val="0"/>
                <w:color w:val="333333"/>
                <w:spacing w:val="0"/>
                <w:sz w:val="28"/>
                <w:szCs w:val="28"/>
                <w:shd w:val="clear" w:fill="FFFFFF"/>
                <w:lang w:val="en-US" w:eastAsia="zh-CN"/>
              </w:rPr>
              <w:t>3.</w:t>
            </w:r>
            <w:r>
              <w:rPr>
                <w:rFonts w:ascii="微软雅黑" w:hAnsi="微软雅黑" w:eastAsia="微软雅黑" w:cs="微软雅黑"/>
                <w:i w:val="0"/>
                <w:iCs w:val="0"/>
                <w:caps w:val="0"/>
                <w:color w:val="333333"/>
                <w:spacing w:val="0"/>
                <w:sz w:val="28"/>
                <w:szCs w:val="28"/>
                <w:shd w:val="clear" w:fill="FFFFFF"/>
              </w:rPr>
              <w:t>肿瘤放射治疗学新进展。</w:t>
            </w:r>
          </w:p>
        </w:tc>
        <w:tc>
          <w:tcPr>
            <w:tcW w:w="3447" w:type="dxa"/>
            <w:vAlign w:val="top"/>
          </w:tcPr>
          <w:p>
            <w:pPr>
              <w:spacing w:line="297" w:lineRule="auto"/>
              <w:jc w:val="both"/>
              <w:rPr>
                <w:rFonts w:ascii="Arial"/>
                <w:sz w:val="36"/>
                <w:szCs w:val="36"/>
              </w:rPr>
            </w:pPr>
            <w:r>
              <w:rPr>
                <w:rFonts w:ascii="微软雅黑" w:hAnsi="微软雅黑" w:eastAsia="微软雅黑" w:cs="微软雅黑"/>
                <w:i w:val="0"/>
                <w:iCs w:val="0"/>
                <w:caps w:val="0"/>
                <w:color w:val="333333"/>
                <w:spacing w:val="0"/>
                <w:sz w:val="28"/>
                <w:szCs w:val="28"/>
                <w:shd w:val="clear" w:fill="FFFFFF"/>
              </w:rPr>
              <w:t>具备一定阅读外文文献集科研能力</w:t>
            </w:r>
          </w:p>
          <w:p>
            <w:pPr>
              <w:spacing w:line="297" w:lineRule="auto"/>
              <w:jc w:val="both"/>
              <w:rPr>
                <w:rFonts w:ascii="Arial"/>
                <w:sz w:val="36"/>
                <w:szCs w:val="36"/>
              </w:rPr>
            </w:pPr>
          </w:p>
          <w:p>
            <w:pPr>
              <w:pStyle w:val="9"/>
              <w:spacing w:before="68" w:line="255" w:lineRule="auto"/>
              <w:ind w:right="310"/>
              <w:jc w:val="both"/>
              <w:rPr>
                <w:sz w:val="36"/>
                <w:szCs w:val="36"/>
              </w:rPr>
            </w:pPr>
          </w:p>
        </w:tc>
        <w:tc>
          <w:tcPr>
            <w:tcW w:w="1986" w:type="dxa"/>
            <w:vAlign w:val="top"/>
          </w:tcPr>
          <w:p>
            <w:pPr>
              <w:pStyle w:val="9"/>
              <w:spacing w:before="220" w:line="220" w:lineRule="auto"/>
              <w:ind w:right="6"/>
              <w:jc w:val="center"/>
              <w:rPr>
                <w:sz w:val="24"/>
                <w:szCs w:val="24"/>
              </w:rPr>
            </w:pPr>
            <w:r>
              <w:rPr>
                <w:sz w:val="24"/>
                <w:szCs w:val="24"/>
              </w:rPr>
              <w:t>1.以《</w:t>
            </w:r>
            <w:r>
              <w:rPr>
                <w:rFonts w:hint="eastAsia"/>
                <w:sz w:val="24"/>
                <w:szCs w:val="24"/>
                <w:lang w:val="en-US" w:eastAsia="zh-CN"/>
              </w:rPr>
              <w:t>肿瘤放射治疗学</w:t>
            </w:r>
            <w:r>
              <w:rPr>
                <w:sz w:val="24"/>
                <w:szCs w:val="24"/>
              </w:rPr>
              <w:t>》</w:t>
            </w:r>
            <w:r>
              <w:rPr>
                <w:spacing w:val="-2"/>
                <w:sz w:val="24"/>
                <w:szCs w:val="24"/>
              </w:rPr>
              <w:t>为基本教材教</w:t>
            </w:r>
            <w:r>
              <w:rPr>
                <w:spacing w:val="2"/>
                <w:sz w:val="24"/>
                <w:szCs w:val="24"/>
              </w:rPr>
              <w:t>学。</w:t>
            </w:r>
          </w:p>
          <w:p>
            <w:pPr>
              <w:pStyle w:val="9"/>
              <w:spacing w:before="57" w:line="219" w:lineRule="auto"/>
              <w:ind w:firstLine="244" w:firstLineChars="100"/>
              <w:rPr>
                <w:sz w:val="24"/>
                <w:szCs w:val="24"/>
              </w:rPr>
            </w:pPr>
            <w:r>
              <w:rPr>
                <w:spacing w:val="2"/>
                <w:sz w:val="24"/>
                <w:szCs w:val="24"/>
              </w:rPr>
              <w:t>2.教师示范</w:t>
            </w:r>
          </w:p>
          <w:p>
            <w:pPr>
              <w:pStyle w:val="9"/>
              <w:spacing w:before="70" w:line="219" w:lineRule="auto"/>
              <w:ind w:left="166"/>
              <w:rPr>
                <w:sz w:val="24"/>
                <w:szCs w:val="24"/>
              </w:rPr>
            </w:pPr>
            <w:r>
              <w:rPr>
                <w:spacing w:val="1"/>
                <w:sz w:val="24"/>
                <w:szCs w:val="24"/>
              </w:rPr>
              <w:t>3.结合临床及手</w:t>
            </w:r>
          </w:p>
          <w:p>
            <w:pPr>
              <w:pStyle w:val="9"/>
              <w:spacing w:before="71" w:line="219" w:lineRule="auto"/>
              <w:ind w:left="166"/>
              <w:rPr>
                <w:sz w:val="24"/>
                <w:szCs w:val="24"/>
              </w:rPr>
            </w:pPr>
            <w:r>
              <w:rPr>
                <w:spacing w:val="1"/>
                <w:sz w:val="24"/>
                <w:szCs w:val="24"/>
              </w:rPr>
              <w:t>术结果分析典型</w:t>
            </w:r>
          </w:p>
          <w:p>
            <w:pPr>
              <w:pStyle w:val="9"/>
              <w:spacing w:before="61" w:line="219" w:lineRule="auto"/>
              <w:ind w:left="217"/>
              <w:rPr>
                <w:sz w:val="24"/>
                <w:szCs w:val="24"/>
              </w:rPr>
            </w:pPr>
            <w:r>
              <w:rPr>
                <w:spacing w:val="-1"/>
                <w:sz w:val="24"/>
                <w:szCs w:val="24"/>
              </w:rPr>
              <w:t>与非典型病例，</w:t>
            </w:r>
          </w:p>
          <w:p>
            <w:pPr>
              <w:pStyle w:val="9"/>
              <w:spacing w:before="71" w:line="219" w:lineRule="auto"/>
              <w:ind w:left="317"/>
              <w:rPr>
                <w:sz w:val="24"/>
                <w:szCs w:val="24"/>
              </w:rPr>
            </w:pPr>
            <w:r>
              <w:rPr>
                <w:sz w:val="24"/>
                <w:szCs w:val="24"/>
              </w:rPr>
              <w:t>4.专题讲座。</w:t>
            </w:r>
          </w:p>
        </w:tc>
        <w:tc>
          <w:tcPr>
            <w:tcW w:w="1441" w:type="dxa"/>
            <w:vAlign w:val="top"/>
          </w:tcPr>
          <w:p>
            <w:pPr>
              <w:pStyle w:val="9"/>
              <w:spacing w:before="37" w:line="219" w:lineRule="auto"/>
              <w:ind w:left="166"/>
              <w:rPr>
                <w:spacing w:val="1"/>
                <w:sz w:val="28"/>
                <w:szCs w:val="28"/>
              </w:rPr>
            </w:pP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吴君心</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李金銮</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陈炬辉</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林培成</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邵凌东</w:t>
            </w:r>
          </w:p>
          <w:p>
            <w:pPr>
              <w:pStyle w:val="9"/>
              <w:spacing w:before="37" w:line="219" w:lineRule="auto"/>
              <w:ind w:left="166"/>
              <w:rPr>
                <w:spacing w:val="1"/>
                <w:sz w:val="28"/>
                <w:szCs w:val="28"/>
              </w:rPr>
            </w:pPr>
            <w:r>
              <w:rPr>
                <w:spacing w:val="1"/>
                <w:sz w:val="28"/>
                <w:szCs w:val="28"/>
              </w:rPr>
              <w:t>程文芳</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陈娜</w:t>
            </w:r>
          </w:p>
          <w:p>
            <w:pPr>
              <w:pStyle w:val="9"/>
              <w:spacing w:before="37" w:line="219" w:lineRule="auto"/>
              <w:ind w:left="166"/>
              <w:rPr>
                <w:spacing w:val="1"/>
                <w:sz w:val="28"/>
                <w:szCs w:val="28"/>
              </w:rPr>
            </w:pPr>
            <w:r>
              <w:rPr>
                <w:spacing w:val="1"/>
                <w:sz w:val="28"/>
                <w:szCs w:val="28"/>
              </w:rPr>
              <w:t>滕开原</w:t>
            </w:r>
          </w:p>
          <w:p>
            <w:pPr>
              <w:pStyle w:val="9"/>
              <w:spacing w:before="37" w:line="219" w:lineRule="auto"/>
              <w:ind w:left="166"/>
              <w:rPr>
                <w:rFonts w:hint="eastAsia"/>
                <w:spacing w:val="1"/>
                <w:sz w:val="28"/>
                <w:szCs w:val="28"/>
                <w:lang w:val="en-US" w:eastAsia="zh-CN"/>
              </w:rPr>
            </w:pPr>
            <w:r>
              <w:rPr>
                <w:rFonts w:hint="eastAsia"/>
                <w:spacing w:val="1"/>
                <w:sz w:val="28"/>
                <w:szCs w:val="28"/>
                <w:lang w:val="en-US" w:eastAsia="zh-CN"/>
              </w:rPr>
              <w:t>洪亮</w:t>
            </w:r>
          </w:p>
        </w:tc>
      </w:tr>
    </w:tbl>
    <w:p>
      <w:pPr>
        <w:rPr>
          <w:rFonts w:ascii="Arial"/>
          <w:sz w:val="21"/>
        </w:rPr>
      </w:pPr>
    </w:p>
    <w:p>
      <w:pPr>
        <w:spacing w:before="8"/>
      </w:pPr>
    </w:p>
    <w:p>
      <w:pPr>
        <w:spacing w:before="7"/>
      </w:pPr>
    </w:p>
    <w:p>
      <w:pPr>
        <w:spacing w:before="7"/>
      </w:pPr>
    </w:p>
    <w:p>
      <w:pPr>
        <w:spacing w:before="7"/>
      </w:pPr>
    </w:p>
    <w:p>
      <w:pPr>
        <w:spacing w:before="7"/>
      </w:pPr>
    </w:p>
    <w:p>
      <w:pPr>
        <w:spacing w:before="7"/>
      </w:pPr>
    </w:p>
    <w:p>
      <w:pPr>
        <w:spacing w:before="7"/>
      </w:pPr>
    </w:p>
    <w:p>
      <w:pPr>
        <w:sectPr>
          <w:footerReference r:id="rId5" w:type="default"/>
          <w:pgSz w:w="12060" w:h="16950"/>
          <w:pgMar w:top="1246" w:right="478" w:bottom="220" w:left="1605" w:header="0" w:footer="0" w:gutter="0"/>
          <w:pgNumType w:fmt="decimal" w:start="1"/>
          <w:cols w:equalWidth="0" w:num="1">
            <w:col w:w="9977"/>
          </w:cols>
        </w:sectPr>
      </w:pPr>
    </w:p>
    <w:p>
      <w:pPr>
        <w:pStyle w:val="2"/>
        <w:spacing w:before="55" w:line="219" w:lineRule="auto"/>
        <w:rPr>
          <w:spacing w:val="-7"/>
          <w:sz w:val="17"/>
          <w:szCs w:val="17"/>
        </w:rPr>
      </w:pPr>
    </w:p>
    <w:p>
      <w:pPr>
        <w:spacing w:line="670" w:lineRule="exact"/>
        <w:sectPr>
          <w:pgSz w:w="11900" w:h="16840"/>
          <w:pgMar w:top="1299" w:right="250" w:bottom="170" w:left="1614" w:header="0" w:footer="0" w:gutter="0"/>
          <w:pgNumType w:fmt="decimal"/>
          <w:cols w:space="720" w:num="1"/>
        </w:sectPr>
      </w:pPr>
    </w:p>
    <w:p>
      <w:pPr>
        <w:spacing w:before="213" w:line="680" w:lineRule="exact"/>
        <w:ind w:left="52"/>
        <w:rPr>
          <w:rFonts w:ascii="黑体" w:hAnsi="黑体" w:eastAsia="黑体" w:cs="黑体"/>
          <w:sz w:val="32"/>
          <w:szCs w:val="32"/>
        </w:rPr>
      </w:pPr>
      <w:bookmarkStart w:id="4" w:name="bookmark6"/>
      <w:bookmarkEnd w:id="4"/>
      <w:bookmarkStart w:id="5" w:name="bookmark7"/>
      <w:bookmarkEnd w:id="5"/>
      <w:bookmarkStart w:id="6" w:name="bookmark8"/>
      <w:bookmarkEnd w:id="6"/>
      <w:bookmarkStart w:id="7" w:name="bookmark5"/>
      <w:bookmarkEnd w:id="7"/>
      <w:r>
        <w:rPr>
          <w:rFonts w:ascii="黑体" w:hAnsi="黑体" w:eastAsia="黑体" w:cs="黑体"/>
          <w:b/>
          <w:bCs/>
          <w:spacing w:val="-18"/>
          <w:position w:val="27"/>
          <w:sz w:val="32"/>
          <w:szCs w:val="32"/>
        </w:rPr>
        <w:t>进修生培养计划：</w:t>
      </w:r>
    </w:p>
    <w:p>
      <w:pPr>
        <w:pStyle w:val="2"/>
        <w:spacing w:line="218" w:lineRule="auto"/>
        <w:ind w:left="51"/>
      </w:pPr>
      <w:r>
        <w:rPr>
          <w:b/>
          <w:bCs/>
          <w:spacing w:val="-7"/>
        </w:rPr>
        <w:t>一</w:t>
      </w:r>
      <w:r>
        <w:rPr>
          <w:spacing w:val="-71"/>
        </w:rPr>
        <w:t xml:space="preserve"> </w:t>
      </w:r>
      <w:r>
        <w:rPr>
          <w:b/>
          <w:bCs/>
          <w:spacing w:val="-7"/>
        </w:rPr>
        <w:t>、</w:t>
      </w:r>
      <w:r>
        <w:rPr>
          <w:spacing w:val="69"/>
        </w:rPr>
        <w:t xml:space="preserve"> </w:t>
      </w:r>
      <w:r>
        <w:rPr>
          <w:b/>
          <w:bCs/>
          <w:spacing w:val="-7"/>
        </w:rPr>
        <w:t>入科教育</w:t>
      </w:r>
    </w:p>
    <w:p>
      <w:pPr>
        <w:pStyle w:val="2"/>
        <w:spacing w:before="304" w:line="590" w:lineRule="exact"/>
        <w:ind w:left="588"/>
      </w:pPr>
      <w:r>
        <w:rPr>
          <w:spacing w:val="-7"/>
          <w:position w:val="24"/>
        </w:rPr>
        <w:t>1. 进行重要医疗法规的宣传教育，包括《执业医师法》、《医疗</w:t>
      </w:r>
    </w:p>
    <w:p>
      <w:pPr>
        <w:pStyle w:val="2"/>
        <w:spacing w:line="219" w:lineRule="auto"/>
        <w:ind w:left="47"/>
      </w:pPr>
      <w:r>
        <w:rPr>
          <w:spacing w:val="-3"/>
        </w:rPr>
        <w:t>事故处理条例》及相关细则等；</w:t>
      </w:r>
    </w:p>
    <w:p>
      <w:pPr>
        <w:pStyle w:val="2"/>
        <w:spacing w:before="259" w:line="599" w:lineRule="exact"/>
        <w:ind w:left="588"/>
      </w:pPr>
      <w:r>
        <w:rPr>
          <w:spacing w:val="8"/>
          <w:position w:val="25"/>
        </w:rPr>
        <w:t>2. 科室的基本情况及规章制度(查对制度、危急值制度、医疗</w:t>
      </w:r>
    </w:p>
    <w:p>
      <w:pPr>
        <w:pStyle w:val="2"/>
        <w:spacing w:before="1" w:line="217" w:lineRule="auto"/>
        <w:ind w:left="47"/>
      </w:pPr>
      <w:r>
        <w:rPr>
          <w:spacing w:val="1"/>
        </w:rPr>
        <w:t>差错与安全不良事件报告及奖惩、培训、请假等事宜);</w:t>
      </w:r>
    </w:p>
    <w:p>
      <w:pPr>
        <w:pStyle w:val="2"/>
        <w:spacing w:before="284" w:line="219" w:lineRule="auto"/>
        <w:ind w:left="588"/>
      </w:pPr>
      <w:r>
        <w:t>3. 仪器设备的使用规范及注意事项；</w:t>
      </w:r>
    </w:p>
    <w:p>
      <w:pPr>
        <w:pStyle w:val="2"/>
        <w:spacing w:before="280" w:line="587" w:lineRule="exact"/>
        <w:ind w:left="588"/>
      </w:pPr>
      <w:r>
        <w:rPr>
          <w:spacing w:val="1"/>
          <w:position w:val="24"/>
        </w:rPr>
        <w:t>4. 医疗工作中医患关系的妥善处理及需要注意的问题；</w:t>
      </w:r>
    </w:p>
    <w:p>
      <w:pPr>
        <w:pStyle w:val="2"/>
        <w:spacing w:before="272" w:line="611" w:lineRule="exact"/>
        <w:ind w:left="588"/>
      </w:pPr>
      <w:r>
        <w:rPr>
          <w:spacing w:val="1"/>
          <w:position w:val="26"/>
        </w:rPr>
        <w:t>务必使进修医师能彻底理解相关法规，做到</w:t>
      </w:r>
      <w:r>
        <w:rPr>
          <w:position w:val="26"/>
        </w:rPr>
        <w:t>依法行医，加强自我</w:t>
      </w:r>
    </w:p>
    <w:p>
      <w:pPr>
        <w:pStyle w:val="2"/>
        <w:spacing w:line="219" w:lineRule="auto"/>
        <w:ind w:left="47"/>
      </w:pPr>
      <w:r>
        <w:rPr>
          <w:spacing w:val="2"/>
        </w:rPr>
        <w:t>保护，培养进修医师严格按照常规办事的概念。</w:t>
      </w:r>
    </w:p>
    <w:p>
      <w:pPr>
        <w:pStyle w:val="2"/>
        <w:spacing w:before="254" w:line="219" w:lineRule="auto"/>
        <w:ind w:left="51"/>
        <w:outlineLvl w:val="0"/>
      </w:pPr>
      <w:r>
        <w:rPr>
          <w:b/>
          <w:bCs/>
          <w:spacing w:val="-14"/>
        </w:rPr>
        <w:t>二、</w:t>
      </w:r>
      <w:r>
        <w:rPr>
          <w:spacing w:val="92"/>
        </w:rPr>
        <w:t xml:space="preserve"> </w:t>
      </w:r>
      <w:r>
        <w:rPr>
          <w:b/>
          <w:bCs/>
          <w:spacing w:val="-14"/>
        </w:rPr>
        <w:t>考勤管理</w:t>
      </w:r>
    </w:p>
    <w:p>
      <w:pPr>
        <w:pStyle w:val="2"/>
        <w:spacing w:before="295" w:line="417" w:lineRule="auto"/>
        <w:ind w:left="47" w:right="1580" w:firstLine="540"/>
      </w:pPr>
      <w:r>
        <w:rPr>
          <w:rFonts w:hint="default" w:ascii="Times New Roman" w:hAnsi="Times New Roman" w:eastAsia="宋体" w:cs="Times New Roman"/>
          <w:sz w:val="28"/>
          <w:szCs w:val="28"/>
          <w:lang w:val="en-US" w:eastAsia="zh-CN"/>
        </w:rPr>
        <w:t>科室进修生管理员</w:t>
      </w:r>
      <w:r>
        <w:rPr>
          <w:spacing w:val="1"/>
        </w:rPr>
        <w:t>做好进修生登记工作。原则上</w:t>
      </w:r>
      <w:r>
        <w:t xml:space="preserve">不允许中途回原单位 </w:t>
      </w:r>
      <w:r>
        <w:rPr>
          <w:spacing w:val="1"/>
        </w:rPr>
        <w:t>或家乡。特殊情况确有需要者，需填写进修人员培训考核记录手册中的请假单，根据要求程序进行申请，并附有关证明文件之原件备案，</w:t>
      </w:r>
      <w:r>
        <w:t>经同意后方可准假，并应在规定时间内返回。</w:t>
      </w:r>
    </w:p>
    <w:p>
      <w:pPr>
        <w:pStyle w:val="2"/>
        <w:spacing w:before="310" w:line="620" w:lineRule="exact"/>
        <w:ind w:left="588"/>
      </w:pPr>
      <w:r>
        <w:rPr>
          <w:spacing w:val="3"/>
          <w:position w:val="26"/>
        </w:rPr>
        <w:t>进修生接受</w:t>
      </w:r>
      <w:r>
        <w:rPr>
          <w:rFonts w:hint="eastAsia"/>
          <w:spacing w:val="3"/>
          <w:position w:val="26"/>
          <w:lang w:val="en-US" w:eastAsia="zh-CN"/>
        </w:rPr>
        <w:t>教育处</w:t>
      </w:r>
      <w:r>
        <w:rPr>
          <w:spacing w:val="3"/>
          <w:position w:val="26"/>
        </w:rPr>
        <w:t>查岗，凡未办理请假手续私自旷工超过两次的</w:t>
      </w:r>
    </w:p>
    <w:p>
      <w:pPr>
        <w:pStyle w:val="2"/>
        <w:spacing w:before="1" w:line="218" w:lineRule="auto"/>
        <w:ind w:left="47"/>
      </w:pPr>
      <w:r>
        <w:rPr>
          <w:spacing w:val="-2"/>
        </w:rPr>
        <w:t>将报大科秘书，申请取消进修资格。</w:t>
      </w:r>
    </w:p>
    <w:p>
      <w:pPr>
        <w:pStyle w:val="2"/>
        <w:spacing w:before="288" w:line="219" w:lineRule="auto"/>
        <w:ind w:left="51"/>
        <w:outlineLvl w:val="0"/>
      </w:pPr>
      <w:r>
        <w:rPr>
          <w:b/>
          <w:bCs/>
          <w:spacing w:val="-20"/>
        </w:rPr>
        <w:t>三、</w:t>
      </w:r>
      <w:r>
        <w:rPr>
          <w:spacing w:val="79"/>
        </w:rPr>
        <w:t xml:space="preserve"> </w:t>
      </w:r>
      <w:r>
        <w:rPr>
          <w:b/>
          <w:bCs/>
          <w:spacing w:val="-20"/>
        </w:rPr>
        <w:t>业务学习</w:t>
      </w:r>
    </w:p>
    <w:p>
      <w:pPr>
        <w:pStyle w:val="2"/>
        <w:spacing w:before="312" w:line="610" w:lineRule="exact"/>
        <w:ind w:left="588"/>
      </w:pPr>
      <w:r>
        <w:rPr>
          <w:spacing w:val="5"/>
          <w:position w:val="26"/>
        </w:rPr>
        <w:t>1. 每周一次，举办由科主任、副主任医师等主讲的进修医师讲</w:t>
      </w:r>
    </w:p>
    <w:p>
      <w:pPr>
        <w:pStyle w:val="2"/>
        <w:spacing w:before="1" w:line="218" w:lineRule="auto"/>
        <w:ind w:left="47"/>
      </w:pPr>
      <w:r>
        <w:t>座。内容包括本专业的理论、技术及最新进展。</w:t>
      </w:r>
    </w:p>
    <w:p>
      <w:pPr>
        <w:pStyle w:val="2"/>
        <w:spacing w:before="312" w:line="610" w:lineRule="exact"/>
        <w:ind w:left="588"/>
        <w:rPr>
          <w:spacing w:val="5"/>
          <w:position w:val="26"/>
        </w:rPr>
      </w:pPr>
      <w:bookmarkStart w:id="8" w:name="bookmark9"/>
      <w:bookmarkEnd w:id="8"/>
      <w:bookmarkStart w:id="9" w:name="bookmark10"/>
      <w:bookmarkEnd w:id="9"/>
      <w:bookmarkStart w:id="10" w:name="bookmark11"/>
      <w:bookmarkEnd w:id="10"/>
      <w:r>
        <w:rPr>
          <w:spacing w:val="5"/>
          <w:position w:val="26"/>
        </w:rPr>
        <w:t>2. 每周安排科内高年资主治</w:t>
      </w:r>
      <w:r>
        <w:rPr>
          <w:rFonts w:hint="eastAsia"/>
          <w:spacing w:val="5"/>
          <w:position w:val="26"/>
          <w:lang w:val="en-US" w:eastAsia="zh-CN"/>
        </w:rPr>
        <w:t>以上</w:t>
      </w:r>
      <w:r>
        <w:rPr>
          <w:spacing w:val="5"/>
          <w:position w:val="26"/>
        </w:rPr>
        <w:t>医师组织新知识介绍及疑难病例讨</w:t>
      </w:r>
    </w:p>
    <w:p>
      <w:pPr>
        <w:pStyle w:val="2"/>
        <w:spacing w:before="312" w:line="610" w:lineRule="exact"/>
        <w:ind w:left="588"/>
        <w:rPr>
          <w:spacing w:val="5"/>
          <w:position w:val="26"/>
        </w:rPr>
      </w:pPr>
      <w:r>
        <w:rPr>
          <w:spacing w:val="5"/>
          <w:position w:val="26"/>
        </w:rPr>
        <w:t>论。</w:t>
      </w:r>
    </w:p>
    <w:p>
      <w:pPr>
        <w:pStyle w:val="2"/>
        <w:spacing w:before="312" w:line="610" w:lineRule="exact"/>
        <w:ind w:left="588"/>
        <w:rPr>
          <w:spacing w:val="5"/>
          <w:position w:val="26"/>
        </w:rPr>
      </w:pPr>
      <w:r>
        <w:rPr>
          <w:spacing w:val="5"/>
          <w:position w:val="26"/>
        </w:rPr>
        <w:t>3. 各亚专业组带教老师结合病种，自行安排小讲课。</w:t>
      </w:r>
    </w:p>
    <w:p>
      <w:pPr>
        <w:pStyle w:val="2"/>
        <w:spacing w:before="272" w:line="611" w:lineRule="exact"/>
        <w:ind w:left="588"/>
        <w:rPr>
          <w:spacing w:val="1"/>
          <w:position w:val="26"/>
        </w:rPr>
      </w:pPr>
      <w:r>
        <w:rPr>
          <w:spacing w:val="1"/>
          <w:position w:val="26"/>
        </w:rPr>
        <w:t>四、 操作示教</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1、完成日常工作的前提下，尽量创造条件让进修医生独立操作</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检查病人，老师复核讲解。</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rFonts w:hint="eastAsia"/>
          <w:spacing w:val="1"/>
          <w:position w:val="26"/>
          <w:lang w:val="en-US" w:eastAsia="zh-CN"/>
        </w:rPr>
      </w:pPr>
      <w:r>
        <w:rPr>
          <w:rFonts w:hint="eastAsia"/>
          <w:spacing w:val="1"/>
          <w:position w:val="26"/>
          <w:lang w:val="en-US" w:eastAsia="zh-CN"/>
        </w:rPr>
        <w:t>2、</w:t>
      </w:r>
      <w:bookmarkStart w:id="11" w:name="_GoBack"/>
      <w:bookmarkEnd w:id="11"/>
      <w:r>
        <w:rPr>
          <w:spacing w:val="1"/>
          <w:position w:val="26"/>
        </w:rPr>
        <w:t>尽量根据进修医生的需求，安排</w:t>
      </w:r>
      <w:r>
        <w:rPr>
          <w:rFonts w:hint="eastAsia"/>
          <w:spacing w:val="1"/>
          <w:position w:val="26"/>
          <w:lang w:val="en-US" w:eastAsia="zh-CN"/>
        </w:rPr>
        <w:t>新病人</w:t>
      </w:r>
      <w:r>
        <w:rPr>
          <w:spacing w:val="1"/>
          <w:position w:val="26"/>
        </w:rPr>
        <w:t>的</w:t>
      </w:r>
      <w:r>
        <w:rPr>
          <w:rFonts w:hint="eastAsia"/>
          <w:spacing w:val="1"/>
          <w:position w:val="26"/>
          <w:lang w:val="en-US" w:eastAsia="zh-CN"/>
        </w:rPr>
        <w:t>放射治疗计划制定及</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rFonts w:hint="eastAsia"/>
          <w:spacing w:val="1"/>
          <w:position w:val="26"/>
          <w:lang w:val="en-US" w:eastAsia="zh-CN"/>
        </w:rPr>
      </w:pPr>
      <w:r>
        <w:rPr>
          <w:rFonts w:hint="eastAsia"/>
          <w:spacing w:val="1"/>
          <w:position w:val="26"/>
          <w:lang w:val="en-US" w:eastAsia="zh-CN"/>
        </w:rPr>
        <w:t>靶区勾画、计划评估。</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rFonts w:hint="default"/>
          <w:spacing w:val="1"/>
          <w:position w:val="26"/>
          <w:lang w:val="en-US" w:eastAsia="zh-CN"/>
        </w:rPr>
      </w:pPr>
      <w:r>
        <w:rPr>
          <w:spacing w:val="1"/>
          <w:position w:val="26"/>
        </w:rPr>
        <w:t>五、 继续教育</w:t>
      </w:r>
      <w:r>
        <w:rPr>
          <w:rFonts w:hint="eastAsia"/>
          <w:spacing w:val="1"/>
          <w:position w:val="26"/>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1. 鼓励进修医师参加或旁听医院举办的各种继续教育学习班</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2. 向进修医师推送</w:t>
      </w:r>
      <w:r>
        <w:rPr>
          <w:rFonts w:hint="eastAsia"/>
          <w:spacing w:val="1"/>
          <w:position w:val="26"/>
          <w:lang w:val="en-US" w:eastAsia="zh-CN"/>
        </w:rPr>
        <w:t>放射治疗</w:t>
      </w:r>
      <w:r>
        <w:rPr>
          <w:spacing w:val="1"/>
          <w:position w:val="26"/>
        </w:rPr>
        <w:t>各学习班的教材；</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六、 考核考评</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1. 进修生结束前按照科教科要求，填写好进修生考核记录手册；</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2. 进修结束时，由</w:t>
      </w:r>
      <w:r>
        <w:rPr>
          <w:rFonts w:hint="eastAsia"/>
          <w:spacing w:val="1"/>
          <w:position w:val="26"/>
          <w:lang w:val="en-US" w:eastAsia="zh-CN"/>
        </w:rPr>
        <w:t>本科室进行出科</w:t>
      </w:r>
      <w:r>
        <w:rPr>
          <w:spacing w:val="1"/>
          <w:position w:val="26"/>
        </w:rPr>
        <w:t>理论考试</w:t>
      </w:r>
      <w:r>
        <w:rPr>
          <w:rFonts w:hint="eastAsia"/>
          <w:spacing w:val="1"/>
          <w:position w:val="26"/>
          <w:lang w:eastAsia="zh-CN"/>
        </w:rPr>
        <w:t>，</w:t>
      </w:r>
      <w:r>
        <w:rPr>
          <w:rFonts w:hint="eastAsia"/>
          <w:spacing w:val="1"/>
          <w:position w:val="26"/>
          <w:lang w:val="en-US" w:eastAsia="zh-CN"/>
        </w:rPr>
        <w:t>试卷交教育处备案</w:t>
      </w:r>
      <w:r>
        <w:rPr>
          <w:spacing w:val="1"/>
          <w:position w:val="26"/>
        </w:rPr>
        <w:t>；</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3. 由科主任任命考核老师，对进修医师进行技能操作考核，保留</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试卷原件，试卷上须有考核老师评卷痕迹、分数，签名并注明日期；</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4. 进修生进修结束后应对其所学内容进行概括总结、并制作 PPT</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于科内演讲。</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spacing w:val="1"/>
          <w:position w:val="26"/>
        </w:rPr>
      </w:pPr>
      <w:r>
        <w:rPr>
          <w:spacing w:val="1"/>
          <w:position w:val="26"/>
        </w:rPr>
        <w:t>5. 由科主任及带教医师对进修医师平时的职业道德、劳动纪律、</w:t>
      </w:r>
    </w:p>
    <w:p>
      <w:pPr>
        <w:pStyle w:val="2"/>
        <w:keepNext w:val="0"/>
        <w:keepLines w:val="0"/>
        <w:pageBreakBefore w:val="0"/>
        <w:widowControl/>
        <w:kinsoku w:val="0"/>
        <w:wordWrap/>
        <w:overflowPunct/>
        <w:topLinePunct w:val="0"/>
        <w:autoSpaceDE w:val="0"/>
        <w:autoSpaceDN w:val="0"/>
        <w:bidi w:val="0"/>
        <w:adjustRightInd w:val="0"/>
        <w:snapToGrid w:val="0"/>
        <w:spacing w:before="272" w:line="240" w:lineRule="auto"/>
        <w:ind w:left="588"/>
        <w:textAlignment w:val="baseline"/>
        <w:rPr>
          <w:rFonts w:hint="default"/>
          <w:b/>
          <w:bCs/>
          <w:sz w:val="32"/>
          <w:szCs w:val="32"/>
          <w:lang w:val="en-US" w:eastAsia="zh-CN"/>
        </w:rPr>
      </w:pPr>
      <w:r>
        <w:rPr>
          <w:spacing w:val="1"/>
          <w:position w:val="26"/>
        </w:rPr>
        <w:t>临床操作能力、病史书写作出评分。</w:t>
      </w:r>
    </w:p>
    <w:sectPr>
      <w:type w:val="continuous"/>
      <w:pgSz w:w="11900" w:h="16840"/>
      <w:pgMar w:top="1127" w:right="320" w:bottom="256" w:left="1785" w:header="0" w:footer="0" w:gutter="0"/>
      <w:pgNumType w:fmt="decimal"/>
      <w:cols w:equalWidth="0" w:num="1">
        <w:col w:w="97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eastAsia="宋体"/>
        <w:sz w:val="2"/>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hjM2YyOWFmOTVjZWM5MGQ1NGUzMDM4MWY5NDI3YWYifQ=="/>
  </w:docVars>
  <w:rsids>
    <w:rsidRoot w:val="00000000"/>
    <w:rsid w:val="01C506B1"/>
    <w:rsid w:val="04904FA7"/>
    <w:rsid w:val="073F77E1"/>
    <w:rsid w:val="098B0432"/>
    <w:rsid w:val="0FED59A3"/>
    <w:rsid w:val="106A3EEC"/>
    <w:rsid w:val="1293358F"/>
    <w:rsid w:val="1711641B"/>
    <w:rsid w:val="1C9D24FF"/>
    <w:rsid w:val="1CAF065F"/>
    <w:rsid w:val="202845C1"/>
    <w:rsid w:val="21076199"/>
    <w:rsid w:val="30760C45"/>
    <w:rsid w:val="322C1F03"/>
    <w:rsid w:val="337C2A16"/>
    <w:rsid w:val="34A246FE"/>
    <w:rsid w:val="35237316"/>
    <w:rsid w:val="357C0AAC"/>
    <w:rsid w:val="35812566"/>
    <w:rsid w:val="3B765F9D"/>
    <w:rsid w:val="3C7D0AC3"/>
    <w:rsid w:val="3F6A406B"/>
    <w:rsid w:val="40A52D69"/>
    <w:rsid w:val="427A2817"/>
    <w:rsid w:val="47FB1D04"/>
    <w:rsid w:val="530323B4"/>
    <w:rsid w:val="53E87EF8"/>
    <w:rsid w:val="561623FF"/>
    <w:rsid w:val="5753390A"/>
    <w:rsid w:val="61B47351"/>
    <w:rsid w:val="634E0BA1"/>
    <w:rsid w:val="650E70C3"/>
    <w:rsid w:val="664803B2"/>
    <w:rsid w:val="680B5B3B"/>
    <w:rsid w:val="712B077D"/>
    <w:rsid w:val="71BE4BDA"/>
    <w:rsid w:val="71CE0991"/>
    <w:rsid w:val="73B452D9"/>
    <w:rsid w:val="73FC0A2E"/>
    <w:rsid w:val="7A6510DB"/>
    <w:rsid w:val="7EF42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2024-02-28T16:23:00Z</dcterms:created>
  <dc:creator>Kingsoft-PDF</dc:creator>
  <cp:lastModifiedBy>莫莫</cp:lastModifiedBy>
  <dcterms:modified xsi:type="dcterms:W3CDTF">2024-05-06T01:36:18Z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2052-12.1.0.16417</vt:lpwstr>
  </property>
  <property fmtid="{D5CDD505-2E9C-101B-9397-08002B2CF9AE}" pid="6" name="ICV">
    <vt:lpwstr>389A122E1E134E5587AEA379E3087811_12</vt:lpwstr>
  </property>
</Properties>
</file>