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hint="eastAsia" w:ascii="Times New Roman" w:hAnsi="Times New Roman" w:cs="Times New Roman"/>
        </w:rPr>
        <w:t xml:space="preserve"> </w:t>
      </w:r>
    </w:p>
    <w:p>
      <w:pPr>
        <w:pStyle w:val="2"/>
        <w:jc w:val="center"/>
        <w:rPr>
          <w:sz w:val="48"/>
        </w:rPr>
      </w:pPr>
    </w:p>
    <w:p/>
    <w:p>
      <w:pPr>
        <w:pStyle w:val="2"/>
        <w:jc w:val="center"/>
        <w:rPr>
          <w:sz w:val="72"/>
        </w:rPr>
      </w:pPr>
      <w:r>
        <w:rPr>
          <w:rFonts w:hint="eastAsia"/>
          <w:sz w:val="56"/>
        </w:rPr>
        <w:t>福建省肿瘤医院病理科</w:t>
      </w:r>
    </w:p>
    <w:p>
      <w:pPr>
        <w:pStyle w:val="2"/>
        <w:jc w:val="center"/>
        <w:rPr>
          <w:sz w:val="56"/>
        </w:rPr>
      </w:pPr>
      <w:r>
        <w:rPr>
          <w:rFonts w:hint="eastAsia"/>
          <w:sz w:val="56"/>
        </w:rPr>
        <w:t>进修生培养计划</w:t>
      </w:r>
    </w:p>
    <w:p/>
    <w:p/>
    <w:p/>
    <w:p/>
    <w:p/>
    <w:p/>
    <w:p/>
    <w:p/>
    <w:p/>
    <w:p/>
    <w:p/>
    <w:p/>
    <w:p/>
    <w:p/>
    <w:p/>
    <w:p/>
    <w:p/>
    <w:p/>
    <w:p/>
    <w:p/>
    <w:p/>
    <w:p/>
    <w:p>
      <w:pPr>
        <w:jc w:val="right"/>
        <w:rPr>
          <w:b/>
          <w:bCs/>
          <w:kern w:val="44"/>
          <w:sz w:val="28"/>
          <w:szCs w:val="44"/>
        </w:rPr>
      </w:pPr>
      <w:r>
        <w:rPr>
          <w:rFonts w:hint="eastAsia"/>
          <w:b/>
          <w:bCs/>
          <w:kern w:val="44"/>
          <w:sz w:val="28"/>
          <w:szCs w:val="44"/>
        </w:rPr>
        <w:t>编订日期：2</w:t>
      </w:r>
      <w:r>
        <w:rPr>
          <w:b/>
          <w:bCs/>
          <w:kern w:val="44"/>
          <w:sz w:val="28"/>
          <w:szCs w:val="44"/>
        </w:rPr>
        <w:t>024</w:t>
      </w:r>
      <w:r>
        <w:rPr>
          <w:rFonts w:hint="eastAsia"/>
          <w:b/>
          <w:bCs/>
          <w:kern w:val="44"/>
          <w:sz w:val="28"/>
          <w:szCs w:val="44"/>
        </w:rPr>
        <w:t>年3月2</w:t>
      </w:r>
      <w:r>
        <w:rPr>
          <w:b/>
          <w:bCs/>
          <w:kern w:val="44"/>
          <w:sz w:val="28"/>
          <w:szCs w:val="44"/>
        </w:rPr>
        <w:t>0</w:t>
      </w:r>
      <w:r>
        <w:rPr>
          <w:rFonts w:hint="eastAsia"/>
          <w:b/>
          <w:bCs/>
          <w:kern w:val="44"/>
          <w:sz w:val="28"/>
          <w:szCs w:val="44"/>
        </w:rPr>
        <w:t>日</w:t>
      </w:r>
    </w:p>
    <w:p>
      <w:pPr>
        <w:rPr>
          <w:rFonts w:ascii="Times New Roman" w:hAnsi="Times New Roman" w:cs="Times New Roman"/>
        </w:rPr>
      </w:pPr>
    </w:p>
    <w:p>
      <w:pPr>
        <w:rPr>
          <w:rFonts w:ascii="Times New Roman" w:hAnsi="Times New Roman" w:cs="Times New Roman"/>
          <w:sz w:val="44"/>
        </w:rPr>
      </w:pPr>
    </w:p>
    <w:p>
      <w:pPr>
        <w:rPr>
          <w:rFonts w:ascii="Times New Roman" w:hAnsi="Times New Roman" w:cs="Times New Roman"/>
          <w:sz w:val="44"/>
        </w:rPr>
      </w:pPr>
    </w:p>
    <w:sdt>
      <w:sdtPr>
        <w:rPr>
          <w:rFonts w:ascii="Times New Roman" w:hAnsi="Times New Roman" w:eastAsia="宋体" w:cs="Times New Roman"/>
          <w:sz w:val="22"/>
        </w:rPr>
        <w:id w:val="147461968"/>
        <w15:color w:val="DBDBDB"/>
        <w:docPartObj>
          <w:docPartGallery w:val="Table of Contents"/>
          <w:docPartUnique/>
        </w:docPartObj>
      </w:sdtPr>
      <w:sdtEndPr>
        <w:rPr>
          <w:rFonts w:ascii="Times New Roman" w:hAnsi="Times New Roman" w:cs="Times New Roman" w:eastAsiaTheme="minorEastAsia"/>
          <w:sz w:val="21"/>
        </w:rPr>
      </w:sdtEndPr>
      <w:sdtContent>
        <w:p>
          <w:pPr>
            <w:jc w:val="center"/>
            <w:rPr>
              <w:rFonts w:ascii="Times New Roman" w:hAnsi="Times New Roman" w:cs="Times New Roman"/>
              <w:b/>
              <w:sz w:val="28"/>
              <w:szCs w:val="32"/>
            </w:rPr>
          </w:pPr>
          <w:r>
            <w:rPr>
              <w:rFonts w:ascii="Times New Roman" w:hAnsi="Times New Roman" w:eastAsia="宋体" w:cs="Times New Roman"/>
              <w:b/>
              <w:sz w:val="28"/>
              <w:szCs w:val="32"/>
            </w:rPr>
            <w:t>目录</w:t>
          </w:r>
        </w:p>
        <w:p>
          <w:pPr>
            <w:pStyle w:val="13"/>
          </w:pPr>
          <w:r>
            <w:fldChar w:fldCharType="begin"/>
          </w:r>
          <w:r>
            <w:instrText xml:space="preserve">TOC \o "1-1" \h \u </w:instrText>
          </w:r>
          <w:r>
            <w:fldChar w:fldCharType="separate"/>
          </w:r>
          <w:r>
            <w:fldChar w:fldCharType="begin"/>
          </w:r>
          <w:r>
            <w:instrText xml:space="preserve"> HYPERLINK \l "_Toc8228" </w:instrText>
          </w:r>
          <w:r>
            <w:fldChar w:fldCharType="separate"/>
          </w:r>
          <w:r>
            <w:rPr>
              <w:b/>
              <w:bCs/>
            </w:rPr>
            <w:t>科室介绍</w:t>
          </w:r>
          <w:r>
            <w:rPr>
              <w:b/>
              <w:bCs/>
            </w:rPr>
            <w:tab/>
          </w:r>
          <w:r>
            <w:rPr>
              <w:b/>
              <w:bCs/>
            </w:rPr>
            <w:fldChar w:fldCharType="begin"/>
          </w:r>
          <w:r>
            <w:rPr>
              <w:b/>
              <w:bCs/>
            </w:rPr>
            <w:instrText xml:space="preserve"> PAGEREF _Toc8228 \h </w:instrText>
          </w:r>
          <w:r>
            <w:rPr>
              <w:b/>
              <w:bCs/>
            </w:rPr>
            <w:fldChar w:fldCharType="separate"/>
          </w:r>
          <w:r>
            <w:rPr>
              <w:b/>
              <w:bCs/>
            </w:rPr>
            <w:t>3</w:t>
          </w:r>
          <w:r>
            <w:rPr>
              <w:b/>
              <w:bCs/>
            </w:rPr>
            <w:fldChar w:fldCharType="end"/>
          </w:r>
          <w:r>
            <w:rPr>
              <w:b/>
              <w:bCs/>
            </w:rPr>
            <w:fldChar w:fldCharType="end"/>
          </w:r>
        </w:p>
        <w:p>
          <w:pPr>
            <w:pStyle w:val="13"/>
          </w:pPr>
          <w:r>
            <w:fldChar w:fldCharType="begin"/>
          </w:r>
          <w:r>
            <w:instrText xml:space="preserve"> HYPERLINK \l "_Toc18966" </w:instrText>
          </w:r>
          <w:r>
            <w:fldChar w:fldCharType="separate"/>
          </w:r>
          <w:r>
            <w:rPr>
              <w:b/>
            </w:rPr>
            <w:t>带教老师一览表</w:t>
          </w:r>
          <w:r>
            <w:tab/>
          </w:r>
          <w:r>
            <w:fldChar w:fldCharType="begin"/>
          </w:r>
          <w:r>
            <w:instrText xml:space="preserve"> PAGEREF _Toc18966 \h </w:instrText>
          </w:r>
          <w:r>
            <w:fldChar w:fldCharType="separate"/>
          </w:r>
          <w:r>
            <w:t>5</w:t>
          </w:r>
          <w:r>
            <w:fldChar w:fldCharType="end"/>
          </w:r>
          <w:r>
            <w:fldChar w:fldCharType="end"/>
          </w:r>
        </w:p>
        <w:p>
          <w:pPr>
            <w:pStyle w:val="13"/>
          </w:pPr>
          <w:r>
            <w:fldChar w:fldCharType="begin"/>
          </w:r>
          <w:r>
            <w:instrText xml:space="preserve"> HYPERLINK \l "_Toc11954" </w:instrText>
          </w:r>
          <w:r>
            <w:fldChar w:fldCharType="separate"/>
          </w:r>
          <w:r>
            <w:rPr>
              <w:b/>
            </w:rPr>
            <w:t>亚专科简介</w:t>
          </w:r>
          <w:r>
            <w:tab/>
          </w:r>
          <w:r>
            <w:fldChar w:fldCharType="begin"/>
          </w:r>
          <w:r>
            <w:instrText xml:space="preserve"> PAGEREF _Toc11954 \h </w:instrText>
          </w:r>
          <w:r>
            <w:fldChar w:fldCharType="separate"/>
          </w:r>
          <w:r>
            <w:t>6</w:t>
          </w:r>
          <w:r>
            <w:fldChar w:fldCharType="end"/>
          </w:r>
          <w:r>
            <w:fldChar w:fldCharType="end"/>
          </w:r>
        </w:p>
        <w:p>
          <w:pPr>
            <w:pStyle w:val="13"/>
          </w:pPr>
          <w:r>
            <w:fldChar w:fldCharType="begin"/>
          </w:r>
          <w:r>
            <w:instrText xml:space="preserve"> HYPERLINK \l "_Toc19957" </w:instrText>
          </w:r>
          <w:r>
            <w:fldChar w:fldCharType="separate"/>
          </w:r>
          <w:r>
            <w:rPr>
              <w:bCs/>
              <w:szCs w:val="44"/>
            </w:rPr>
            <w:t>1、淋巴瘤亚专科</w:t>
          </w:r>
          <w:r>
            <w:tab/>
          </w:r>
          <w:r>
            <w:fldChar w:fldCharType="begin"/>
          </w:r>
          <w:r>
            <w:instrText xml:space="preserve"> PAGEREF _Toc19957 \h </w:instrText>
          </w:r>
          <w:r>
            <w:fldChar w:fldCharType="separate"/>
          </w:r>
          <w:r>
            <w:t>6</w:t>
          </w:r>
          <w:r>
            <w:fldChar w:fldCharType="end"/>
          </w:r>
          <w:r>
            <w:fldChar w:fldCharType="end"/>
          </w:r>
        </w:p>
        <w:p>
          <w:pPr>
            <w:pStyle w:val="13"/>
          </w:pPr>
          <w:r>
            <w:fldChar w:fldCharType="begin"/>
          </w:r>
          <w:r>
            <w:instrText xml:space="preserve"> HYPERLINK \l "_Toc27538" </w:instrText>
          </w:r>
          <w:r>
            <w:fldChar w:fldCharType="separate"/>
          </w:r>
          <w:r>
            <w:rPr>
              <w:bCs/>
              <w:szCs w:val="44"/>
            </w:rPr>
            <w:t>2、消化亚专科</w:t>
          </w:r>
          <w:r>
            <w:tab/>
          </w:r>
          <w:r>
            <w:fldChar w:fldCharType="begin"/>
          </w:r>
          <w:r>
            <w:instrText xml:space="preserve"> PAGEREF _Toc27538 \h </w:instrText>
          </w:r>
          <w:r>
            <w:fldChar w:fldCharType="separate"/>
          </w:r>
          <w:r>
            <w:t>8</w:t>
          </w:r>
          <w:r>
            <w:fldChar w:fldCharType="end"/>
          </w:r>
          <w:r>
            <w:fldChar w:fldCharType="end"/>
          </w:r>
        </w:p>
        <w:p>
          <w:pPr>
            <w:pStyle w:val="13"/>
          </w:pPr>
          <w:r>
            <w:fldChar w:fldCharType="begin"/>
          </w:r>
          <w:r>
            <w:instrText xml:space="preserve"> HYPERLINK \l "_Toc14460" </w:instrText>
          </w:r>
          <w:r>
            <w:fldChar w:fldCharType="separate"/>
          </w:r>
          <w:r>
            <w:rPr>
              <w:bCs/>
              <w:szCs w:val="44"/>
            </w:rPr>
            <w:t>3、胸部亚专科</w:t>
          </w:r>
          <w:r>
            <w:tab/>
          </w:r>
          <w:r>
            <w:fldChar w:fldCharType="begin"/>
          </w:r>
          <w:r>
            <w:instrText xml:space="preserve"> PAGEREF _Toc14460 \h </w:instrText>
          </w:r>
          <w:r>
            <w:fldChar w:fldCharType="separate"/>
          </w:r>
          <w:r>
            <w:t>9</w:t>
          </w:r>
          <w:r>
            <w:fldChar w:fldCharType="end"/>
          </w:r>
          <w:r>
            <w:fldChar w:fldCharType="end"/>
          </w:r>
        </w:p>
        <w:p>
          <w:pPr>
            <w:pStyle w:val="13"/>
          </w:pPr>
          <w:r>
            <w:fldChar w:fldCharType="begin"/>
          </w:r>
          <w:r>
            <w:instrText xml:space="preserve"> HYPERLINK \l "_Toc22703" </w:instrText>
          </w:r>
          <w:r>
            <w:fldChar w:fldCharType="separate"/>
          </w:r>
          <w:r>
            <w:rPr>
              <w:bCs/>
              <w:szCs w:val="44"/>
            </w:rPr>
            <w:t>4、妇科亚专科</w:t>
          </w:r>
          <w:r>
            <w:tab/>
          </w:r>
          <w:r>
            <w:fldChar w:fldCharType="begin"/>
          </w:r>
          <w:r>
            <w:instrText xml:space="preserve"> PAGEREF _Toc22703 \h </w:instrText>
          </w:r>
          <w:r>
            <w:fldChar w:fldCharType="separate"/>
          </w:r>
          <w:r>
            <w:t>10</w:t>
          </w:r>
          <w:r>
            <w:fldChar w:fldCharType="end"/>
          </w:r>
          <w:r>
            <w:fldChar w:fldCharType="end"/>
          </w:r>
        </w:p>
        <w:p>
          <w:pPr>
            <w:pStyle w:val="13"/>
          </w:pPr>
          <w:r>
            <w:fldChar w:fldCharType="begin"/>
          </w:r>
          <w:r>
            <w:instrText xml:space="preserve"> HYPERLINK \l "_Toc15032" </w:instrText>
          </w:r>
          <w:r>
            <w:fldChar w:fldCharType="separate"/>
          </w:r>
          <w:r>
            <w:rPr>
              <w:bCs/>
              <w:szCs w:val="44"/>
            </w:rPr>
            <w:t>5、乳腺亚专科</w:t>
          </w:r>
          <w:r>
            <w:tab/>
          </w:r>
          <w:r>
            <w:fldChar w:fldCharType="begin"/>
          </w:r>
          <w:r>
            <w:instrText xml:space="preserve"> PAGEREF _Toc15032 \h </w:instrText>
          </w:r>
          <w:r>
            <w:fldChar w:fldCharType="separate"/>
          </w:r>
          <w:r>
            <w:t>11</w:t>
          </w:r>
          <w:r>
            <w:fldChar w:fldCharType="end"/>
          </w:r>
          <w:r>
            <w:fldChar w:fldCharType="end"/>
          </w:r>
        </w:p>
        <w:p>
          <w:pPr>
            <w:pStyle w:val="13"/>
          </w:pPr>
          <w:r>
            <w:fldChar w:fldCharType="begin"/>
          </w:r>
          <w:r>
            <w:instrText xml:space="preserve"> HYPERLINK \l "_Toc1636" </w:instrText>
          </w:r>
          <w:r>
            <w:fldChar w:fldCharType="separate"/>
          </w:r>
          <w:r>
            <w:rPr>
              <w:bCs/>
              <w:szCs w:val="44"/>
            </w:rPr>
            <w:t>6、分子病理亚专科</w:t>
          </w:r>
          <w:r>
            <w:tab/>
          </w:r>
          <w:r>
            <w:fldChar w:fldCharType="begin"/>
          </w:r>
          <w:r>
            <w:instrText xml:space="preserve"> PAGEREF _Toc1636 \h </w:instrText>
          </w:r>
          <w:r>
            <w:fldChar w:fldCharType="separate"/>
          </w:r>
          <w:r>
            <w:t>12</w:t>
          </w:r>
          <w:r>
            <w:fldChar w:fldCharType="end"/>
          </w:r>
          <w:r>
            <w:fldChar w:fldCharType="end"/>
          </w:r>
        </w:p>
        <w:p>
          <w:pPr>
            <w:pStyle w:val="13"/>
          </w:pPr>
          <w:r>
            <w:fldChar w:fldCharType="begin"/>
          </w:r>
          <w:r>
            <w:instrText xml:space="preserve"> HYPERLINK \l "_Toc24825" </w:instrText>
          </w:r>
          <w:r>
            <w:fldChar w:fldCharType="separate"/>
          </w:r>
          <w:r>
            <w:rPr>
              <w:bCs/>
              <w:szCs w:val="44"/>
            </w:rPr>
            <w:t>7、病理技术亚专科</w:t>
          </w:r>
          <w:r>
            <w:tab/>
          </w:r>
          <w:r>
            <w:fldChar w:fldCharType="begin"/>
          </w:r>
          <w:r>
            <w:instrText xml:space="preserve"> PAGEREF _Toc24825 \h </w:instrText>
          </w:r>
          <w:r>
            <w:fldChar w:fldCharType="separate"/>
          </w:r>
          <w:r>
            <w:t>14</w:t>
          </w:r>
          <w:r>
            <w:fldChar w:fldCharType="end"/>
          </w:r>
          <w:r>
            <w:fldChar w:fldCharType="end"/>
          </w:r>
        </w:p>
        <w:p>
          <w:pPr>
            <w:pStyle w:val="13"/>
          </w:pPr>
          <w:r>
            <w:fldChar w:fldCharType="begin"/>
          </w:r>
          <w:r>
            <w:instrText xml:space="preserve"> HYPERLINK \l "_Toc8097" </w:instrText>
          </w:r>
          <w:r>
            <w:fldChar w:fldCharType="separate"/>
          </w:r>
          <w:r>
            <w:t>进修类别</w:t>
          </w:r>
          <w:r>
            <w:tab/>
          </w:r>
          <w:r>
            <w:fldChar w:fldCharType="begin"/>
          </w:r>
          <w:r>
            <w:instrText xml:space="preserve"> PAGEREF _Toc8097 \h </w:instrText>
          </w:r>
          <w:r>
            <w:fldChar w:fldCharType="separate"/>
          </w:r>
          <w:r>
            <w:t>15</w:t>
          </w:r>
          <w:r>
            <w:fldChar w:fldCharType="end"/>
          </w:r>
          <w:r>
            <w:fldChar w:fldCharType="end"/>
          </w:r>
        </w:p>
        <w:p>
          <w:pPr>
            <w:pStyle w:val="13"/>
          </w:pPr>
          <w:r>
            <w:fldChar w:fldCharType="begin"/>
          </w:r>
          <w:r>
            <w:instrText xml:space="preserve"> HYPERLINK \l "_Toc8930" </w:instrText>
          </w:r>
          <w:r>
            <w:fldChar w:fldCharType="separate"/>
          </w:r>
          <w:r>
            <w:rPr>
              <w:bCs/>
              <w:kern w:val="44"/>
              <w:szCs w:val="21"/>
            </w:rPr>
            <w:t>一、 病理诊断方向</w:t>
          </w:r>
          <w:r>
            <w:tab/>
          </w:r>
          <w:r>
            <w:fldChar w:fldCharType="begin"/>
          </w:r>
          <w:r>
            <w:instrText xml:space="preserve"> PAGEREF _Toc8930 \h </w:instrText>
          </w:r>
          <w:r>
            <w:fldChar w:fldCharType="separate"/>
          </w:r>
          <w:r>
            <w:t>15</w:t>
          </w:r>
          <w:r>
            <w:fldChar w:fldCharType="end"/>
          </w:r>
          <w:r>
            <w:fldChar w:fldCharType="end"/>
          </w:r>
        </w:p>
        <w:p>
          <w:pPr>
            <w:pStyle w:val="13"/>
          </w:pPr>
          <w:r>
            <w:fldChar w:fldCharType="begin"/>
          </w:r>
          <w:r>
            <w:instrText xml:space="preserve"> HYPERLINK \l "_Toc7205" </w:instrText>
          </w:r>
          <w:r>
            <w:fldChar w:fldCharType="separate"/>
          </w:r>
          <w:r>
            <w:rPr>
              <w:bCs/>
              <w:kern w:val="44"/>
              <w:szCs w:val="21"/>
            </w:rPr>
            <w:t>二、 病理技术</w:t>
          </w:r>
          <w:r>
            <w:tab/>
          </w:r>
          <w:r>
            <w:fldChar w:fldCharType="begin"/>
          </w:r>
          <w:r>
            <w:instrText xml:space="preserve"> PAGEREF _Toc7205 \h </w:instrText>
          </w:r>
          <w:r>
            <w:fldChar w:fldCharType="separate"/>
          </w:r>
          <w:r>
            <w:t>15</w:t>
          </w:r>
          <w:r>
            <w:fldChar w:fldCharType="end"/>
          </w:r>
          <w:r>
            <w:fldChar w:fldCharType="end"/>
          </w:r>
        </w:p>
        <w:p>
          <w:pPr>
            <w:pStyle w:val="13"/>
          </w:pPr>
          <w:r>
            <w:fldChar w:fldCharType="begin"/>
          </w:r>
          <w:r>
            <w:instrText xml:space="preserve"> HYPERLINK \l "_Toc9528" </w:instrText>
          </w:r>
          <w:r>
            <w:fldChar w:fldCharType="separate"/>
          </w:r>
          <w:r>
            <w:rPr>
              <w:bCs/>
              <w:kern w:val="44"/>
              <w:szCs w:val="21"/>
            </w:rPr>
            <w:t>三、 分子病理</w:t>
          </w:r>
          <w:r>
            <w:tab/>
          </w:r>
          <w:r>
            <w:fldChar w:fldCharType="begin"/>
          </w:r>
          <w:r>
            <w:instrText xml:space="preserve"> PAGEREF _Toc9528 \h </w:instrText>
          </w:r>
          <w:r>
            <w:fldChar w:fldCharType="separate"/>
          </w:r>
          <w:r>
            <w:t>15</w:t>
          </w:r>
          <w:r>
            <w:fldChar w:fldCharType="end"/>
          </w:r>
          <w:r>
            <w:fldChar w:fldCharType="end"/>
          </w:r>
        </w:p>
        <w:p>
          <w:pPr>
            <w:pStyle w:val="13"/>
          </w:pPr>
          <w:r>
            <w:fldChar w:fldCharType="begin"/>
          </w:r>
          <w:r>
            <w:instrText xml:space="preserve"> HYPERLINK \l "_Toc29084" </w:instrText>
          </w:r>
          <w:r>
            <w:fldChar w:fldCharType="separate"/>
          </w:r>
          <w:r>
            <w:t>招收条件</w:t>
          </w:r>
          <w:r>
            <w:tab/>
          </w:r>
          <w:r>
            <w:fldChar w:fldCharType="begin"/>
          </w:r>
          <w:r>
            <w:instrText xml:space="preserve"> PAGEREF _Toc29084 \h </w:instrText>
          </w:r>
          <w:r>
            <w:fldChar w:fldCharType="separate"/>
          </w:r>
          <w:r>
            <w:t>16</w:t>
          </w:r>
          <w:r>
            <w:fldChar w:fldCharType="end"/>
          </w:r>
          <w:r>
            <w:fldChar w:fldCharType="end"/>
          </w:r>
        </w:p>
        <w:p>
          <w:pPr>
            <w:pStyle w:val="13"/>
          </w:pPr>
          <w:r>
            <w:fldChar w:fldCharType="begin"/>
          </w:r>
          <w:r>
            <w:instrText xml:space="preserve"> HYPERLINK \l "_Toc17161" </w:instrText>
          </w:r>
          <w:r>
            <w:fldChar w:fldCharType="separate"/>
          </w:r>
          <w:r>
            <w:rPr>
              <w:b/>
            </w:rPr>
            <w:t>进修生培养方案</w:t>
          </w:r>
          <w:r>
            <w:tab/>
          </w:r>
          <w:r>
            <w:fldChar w:fldCharType="begin"/>
          </w:r>
          <w:r>
            <w:instrText xml:space="preserve"> PAGEREF _Toc17161 \h </w:instrText>
          </w:r>
          <w:r>
            <w:fldChar w:fldCharType="separate"/>
          </w:r>
          <w:r>
            <w:t>17</w:t>
          </w:r>
          <w:r>
            <w:fldChar w:fldCharType="end"/>
          </w:r>
          <w:r>
            <w:fldChar w:fldCharType="end"/>
          </w:r>
        </w:p>
        <w:p>
          <w:pPr>
            <w:pStyle w:val="13"/>
          </w:pPr>
          <w:r>
            <w:fldChar w:fldCharType="begin"/>
          </w:r>
          <w:r>
            <w:instrText xml:space="preserve"> HYPERLINK \l "_Toc8869" </w:instrText>
          </w:r>
          <w:r>
            <w:fldChar w:fldCharType="separate"/>
          </w:r>
          <w:r>
            <w:rPr>
              <w:kern w:val="44"/>
              <w:szCs w:val="21"/>
            </w:rPr>
            <w:t>一、 培养目标</w:t>
          </w:r>
          <w:r>
            <w:tab/>
          </w:r>
          <w:r>
            <w:fldChar w:fldCharType="begin"/>
          </w:r>
          <w:r>
            <w:instrText xml:space="preserve"> PAGEREF _Toc8869 \h </w:instrText>
          </w:r>
          <w:r>
            <w:fldChar w:fldCharType="separate"/>
          </w:r>
          <w:r>
            <w:t>17</w:t>
          </w:r>
          <w:r>
            <w:fldChar w:fldCharType="end"/>
          </w:r>
          <w:r>
            <w:fldChar w:fldCharType="end"/>
          </w:r>
        </w:p>
        <w:p>
          <w:pPr>
            <w:pStyle w:val="13"/>
          </w:pPr>
          <w:r>
            <w:fldChar w:fldCharType="begin"/>
          </w:r>
          <w:r>
            <w:instrText xml:space="preserve"> HYPERLINK \l "_Toc24858" </w:instrText>
          </w:r>
          <w:r>
            <w:fldChar w:fldCharType="separate"/>
          </w:r>
          <w:r>
            <w:rPr>
              <w:kern w:val="44"/>
              <w:szCs w:val="21"/>
            </w:rPr>
            <w:t>二、 培养方案</w:t>
          </w:r>
          <w:r>
            <w:tab/>
          </w:r>
          <w:r>
            <w:fldChar w:fldCharType="begin"/>
          </w:r>
          <w:r>
            <w:instrText xml:space="preserve"> PAGEREF _Toc24858 \h </w:instrText>
          </w:r>
          <w:r>
            <w:fldChar w:fldCharType="separate"/>
          </w:r>
          <w:r>
            <w:t>17</w:t>
          </w:r>
          <w:r>
            <w:fldChar w:fldCharType="end"/>
          </w:r>
          <w:r>
            <w:fldChar w:fldCharType="end"/>
          </w:r>
        </w:p>
        <w:p>
          <w:pPr>
            <w:pStyle w:val="13"/>
          </w:pPr>
          <w:r>
            <w:fldChar w:fldCharType="begin"/>
          </w:r>
          <w:r>
            <w:instrText xml:space="preserve"> HYPERLINK \l "_Toc11533" </w:instrText>
          </w:r>
          <w:r>
            <w:fldChar w:fldCharType="separate"/>
          </w:r>
          <w:r>
            <w:rPr>
              <w:b/>
            </w:rPr>
            <w:t>进修生培养计划</w:t>
          </w:r>
          <w:r>
            <w:tab/>
          </w:r>
          <w:r>
            <w:fldChar w:fldCharType="begin"/>
          </w:r>
          <w:r>
            <w:instrText xml:space="preserve"> PAGEREF _Toc11533 \h </w:instrText>
          </w:r>
          <w:r>
            <w:fldChar w:fldCharType="separate"/>
          </w:r>
          <w:r>
            <w:t>22</w:t>
          </w:r>
          <w:r>
            <w:fldChar w:fldCharType="end"/>
          </w:r>
          <w:r>
            <w:fldChar w:fldCharType="end"/>
          </w:r>
        </w:p>
        <w:p>
          <w:pPr>
            <w:pStyle w:val="13"/>
          </w:pPr>
          <w:r>
            <w:fldChar w:fldCharType="begin"/>
          </w:r>
          <w:r>
            <w:instrText xml:space="preserve"> HYPERLINK \l "_Toc26034" </w:instrText>
          </w:r>
          <w:r>
            <w:fldChar w:fldCharType="separate"/>
          </w:r>
          <w:r>
            <w:t>一、入科教育</w:t>
          </w:r>
          <w:r>
            <w:tab/>
          </w:r>
          <w:r>
            <w:fldChar w:fldCharType="begin"/>
          </w:r>
          <w:r>
            <w:instrText xml:space="preserve"> PAGEREF _Toc26034 \h </w:instrText>
          </w:r>
          <w:r>
            <w:fldChar w:fldCharType="separate"/>
          </w:r>
          <w:r>
            <w:t>22</w:t>
          </w:r>
          <w:r>
            <w:fldChar w:fldCharType="end"/>
          </w:r>
          <w:r>
            <w:fldChar w:fldCharType="end"/>
          </w:r>
        </w:p>
        <w:p>
          <w:pPr>
            <w:pStyle w:val="13"/>
          </w:pPr>
          <w:r>
            <w:fldChar w:fldCharType="begin"/>
          </w:r>
          <w:r>
            <w:instrText xml:space="preserve"> HYPERLINK \l "_Toc21193" </w:instrText>
          </w:r>
          <w:r>
            <w:fldChar w:fldCharType="separate"/>
          </w:r>
          <w:r>
            <w:t>二、考勤管理</w:t>
          </w:r>
          <w:r>
            <w:tab/>
          </w:r>
          <w:r>
            <w:fldChar w:fldCharType="begin"/>
          </w:r>
          <w:r>
            <w:instrText xml:space="preserve"> PAGEREF _Toc21193 \h </w:instrText>
          </w:r>
          <w:r>
            <w:fldChar w:fldCharType="separate"/>
          </w:r>
          <w:r>
            <w:t>22</w:t>
          </w:r>
          <w:r>
            <w:fldChar w:fldCharType="end"/>
          </w:r>
          <w:r>
            <w:fldChar w:fldCharType="end"/>
          </w:r>
        </w:p>
        <w:p>
          <w:pPr>
            <w:pStyle w:val="13"/>
          </w:pPr>
          <w:r>
            <w:fldChar w:fldCharType="begin"/>
          </w:r>
          <w:r>
            <w:instrText xml:space="preserve"> HYPERLINK \l "_Toc5444" </w:instrText>
          </w:r>
          <w:r>
            <w:fldChar w:fldCharType="separate"/>
          </w:r>
          <w:r>
            <w:t>三、业务学习</w:t>
          </w:r>
          <w:r>
            <w:tab/>
          </w:r>
          <w:r>
            <w:fldChar w:fldCharType="begin"/>
          </w:r>
          <w:r>
            <w:instrText xml:space="preserve"> PAGEREF _Toc5444 \h </w:instrText>
          </w:r>
          <w:r>
            <w:fldChar w:fldCharType="separate"/>
          </w:r>
          <w:r>
            <w:t>22</w:t>
          </w:r>
          <w:r>
            <w:fldChar w:fldCharType="end"/>
          </w:r>
          <w:r>
            <w:fldChar w:fldCharType="end"/>
          </w:r>
        </w:p>
        <w:p>
          <w:pPr>
            <w:pStyle w:val="13"/>
          </w:pPr>
          <w:r>
            <w:fldChar w:fldCharType="begin"/>
          </w:r>
          <w:r>
            <w:instrText xml:space="preserve"> HYPERLINK \l "_Toc16312" </w:instrText>
          </w:r>
          <w:r>
            <w:fldChar w:fldCharType="separate"/>
          </w:r>
          <w:r>
            <w:t>四、操作示教</w:t>
          </w:r>
          <w:r>
            <w:tab/>
          </w:r>
          <w:r>
            <w:fldChar w:fldCharType="begin"/>
          </w:r>
          <w:r>
            <w:instrText xml:space="preserve"> PAGEREF _Toc16312 \h </w:instrText>
          </w:r>
          <w:r>
            <w:fldChar w:fldCharType="separate"/>
          </w:r>
          <w:r>
            <w:t>23</w:t>
          </w:r>
          <w:r>
            <w:fldChar w:fldCharType="end"/>
          </w:r>
          <w:r>
            <w:fldChar w:fldCharType="end"/>
          </w:r>
        </w:p>
        <w:p>
          <w:pPr>
            <w:pStyle w:val="13"/>
          </w:pPr>
          <w:r>
            <w:fldChar w:fldCharType="begin"/>
          </w:r>
          <w:r>
            <w:instrText xml:space="preserve"> HYPERLINK \l "_Toc5495" </w:instrText>
          </w:r>
          <w:r>
            <w:fldChar w:fldCharType="separate"/>
          </w:r>
          <w:r>
            <w:t>五、继续教育</w:t>
          </w:r>
          <w:r>
            <w:tab/>
          </w:r>
          <w:r>
            <w:fldChar w:fldCharType="begin"/>
          </w:r>
          <w:r>
            <w:instrText xml:space="preserve"> PAGEREF _Toc5495 \h </w:instrText>
          </w:r>
          <w:r>
            <w:fldChar w:fldCharType="separate"/>
          </w:r>
          <w:r>
            <w:t>23</w:t>
          </w:r>
          <w:r>
            <w:fldChar w:fldCharType="end"/>
          </w:r>
          <w:r>
            <w:fldChar w:fldCharType="end"/>
          </w:r>
        </w:p>
        <w:p>
          <w:pPr>
            <w:pStyle w:val="13"/>
          </w:pPr>
          <w:r>
            <w:fldChar w:fldCharType="begin"/>
          </w:r>
          <w:r>
            <w:instrText xml:space="preserve"> HYPERLINK \l "_Toc23078" </w:instrText>
          </w:r>
          <w:r>
            <w:fldChar w:fldCharType="separate"/>
          </w:r>
          <w:r>
            <w:t>六、考核考评</w:t>
          </w:r>
          <w:r>
            <w:tab/>
          </w:r>
          <w:r>
            <w:fldChar w:fldCharType="begin"/>
          </w:r>
          <w:r>
            <w:instrText xml:space="preserve"> PAGEREF _Toc23078 \h </w:instrText>
          </w:r>
          <w:r>
            <w:fldChar w:fldCharType="separate"/>
          </w:r>
          <w:r>
            <w:t>23</w:t>
          </w:r>
          <w:r>
            <w:fldChar w:fldCharType="end"/>
          </w:r>
          <w:r>
            <w:fldChar w:fldCharType="end"/>
          </w:r>
        </w:p>
        <w:p>
          <w:pPr>
            <w:rPr>
              <w:rFonts w:ascii="Times New Roman" w:hAnsi="Times New Roman" w:cs="Times New Roman"/>
            </w:rPr>
          </w:pPr>
          <w:r>
            <w:rPr>
              <w:rFonts w:ascii="Times New Roman" w:hAnsi="Times New Roman" w:cs="Times New Roman"/>
              <w:sz w:val="28"/>
              <w:szCs w:val="32"/>
            </w:rPr>
            <w:fldChar w:fldCharType="end"/>
          </w:r>
        </w:p>
      </w:sdtContent>
    </w:sdt>
    <w:p>
      <w:pPr>
        <w:pStyle w:val="2"/>
        <w:jc w:val="center"/>
        <w:rPr>
          <w:rFonts w:ascii="Times New Roman" w:hAnsi="Times New Roman" w:cs="Times New Roman"/>
        </w:rPr>
      </w:pPr>
      <w:bookmarkStart w:id="0" w:name="_Toc8228"/>
      <w:bookmarkStart w:id="1" w:name="_Toc6737"/>
      <w:r>
        <w:rPr>
          <w:rFonts w:ascii="Times New Roman" w:hAnsi="Times New Roman" w:cs="Times New Roman"/>
        </w:rPr>
        <w:t>科室介绍</w:t>
      </w:r>
      <w:bookmarkEnd w:id="0"/>
      <w:bookmarkEnd w:id="1"/>
    </w:p>
    <w:p>
      <w:pPr>
        <w:ind w:firstLine="560" w:firstLineChars="200"/>
        <w:rPr>
          <w:rFonts w:ascii="Times New Roman" w:hAnsi="Times New Roman" w:cs="Times New Roman"/>
          <w:sz w:val="28"/>
          <w:szCs w:val="36"/>
        </w:rPr>
      </w:pPr>
      <w:r>
        <w:rPr>
          <w:rFonts w:ascii="Times New Roman" w:hAnsi="Times New Roman" w:cs="Times New Roman"/>
          <w:sz w:val="28"/>
          <w:szCs w:val="36"/>
        </w:rPr>
        <w:t>福建省肿瘤医院病理科是1986年建院时首批临床独立建制科室，经过37年的发展，目前已发展为福建省规模最大、集医教研一体的一流肿瘤病理培训基地。是全国首批病理住院医师规范化培训基地；全国首批淋巴瘤培训基地；福建医科大学、福建中医药大学和福州大学的博硕士培养点；国家卫健委病理质控中心（PQCC）分子病理示范实验室；国家临床重点专科；省级病理远程会诊中心单位，中华医学会病理学分会常委单位，中华医学会技术学组组长单位，中国临床肿瘤学会（CSCO）肿瘤病理专家委员会副主委单位，中国抗癌协会肿瘤病理专业委员会常委单位，福建省医学会病理学分会主委单位，福建省抗癌协会肿瘤病理专业委员会主委单位；福建省首个“国家卫健委能力建设与继续教育中心淋巴瘤专科建设项目组”病理学组专家成员单位；同时也是福建省转化医学重点实验室、福建省生物治疗重点实验室、福建省免疫治疗质量控制中心的核心成员。</w:t>
      </w:r>
    </w:p>
    <w:p>
      <w:pPr>
        <w:ind w:firstLine="560" w:firstLineChars="200"/>
        <w:rPr>
          <w:rFonts w:ascii="Times New Roman" w:hAnsi="Times New Roman" w:cs="Times New Roman"/>
          <w:sz w:val="28"/>
          <w:szCs w:val="36"/>
        </w:rPr>
      </w:pPr>
      <w:r>
        <w:rPr>
          <w:rFonts w:ascii="Times New Roman" w:hAnsi="Times New Roman" w:cs="Times New Roman"/>
          <w:sz w:val="28"/>
          <w:szCs w:val="36"/>
        </w:rPr>
        <w:t>病理科由组织病理室、细胞病理室、分子病理室和生物样本库四部分构成。现有工作面积近6000平方米，拥有全自动组织脱水仪、染色仪、免疫组化仪、液基细胞制片仪及全流程病理管理系统等各种先进的自动化设备；具备一代测序仪、二代测序仪、流式细胞仪、FISH自动化扫描与阅片分析系统、数字PCR、循环肿瘤细胞等多种分子检测平台，仪器与设备国内一流，开展病理检测项目齐全，高效地满足了临床诊疗的各种需求。分子病理室2008年开始筹建，经过近15年时间的发展，目前已建设成为省内规模最大、设备最先进的分子病理诊断和研究中心，现具备NGS、 PCR、FISH和流式四大技术平台，已开展多种肿瘤及遗传病方面的基因检测，年检测量超过7万例。疫情期间还承担新冠检测任务，已顺利完成超过150万例的检测量，并积极参加国家卫生健康委员会临床检验中心（NCCL）及福建省卫生健康委员会临床检验中心新型冠状病毒核酸检测室间质量评价，均满分通过。分子病理室自2012年以来每年均通过国内各项质控项目能力认证并实行严格的质量管理，定期参加国家病理质控室间质评（PQCC），自2017年起连续三次获得“PQCC示范实验室”称号。</w:t>
      </w:r>
    </w:p>
    <w:p>
      <w:pPr>
        <w:ind w:firstLine="560" w:firstLineChars="200"/>
        <w:rPr>
          <w:rFonts w:ascii="Times New Roman" w:hAnsi="Times New Roman" w:cs="Times New Roman"/>
          <w:sz w:val="28"/>
          <w:szCs w:val="36"/>
        </w:rPr>
      </w:pPr>
      <w:r>
        <w:rPr>
          <w:rFonts w:ascii="Times New Roman" w:hAnsi="Times New Roman" w:cs="Times New Roman"/>
          <w:sz w:val="28"/>
          <w:szCs w:val="36"/>
        </w:rPr>
        <w:t>病理科汇聚了一支充满朝气的年轻学术队伍，现有工作人员81人，包括正高职称6人、副高职称8人、主治26人，博士7人，硕士39人，其中博、硕士生导师7人。形成一支专业知识全面，年龄梯次合理，技术力量较为雄厚的学术队伍，在淋巴造血系统肿瘤、消化系统肿瘤、软组织肿瘤、乳腺肿瘤、肺肿瘤等领域形成了鲜明的亚专科特色和诊断优势，开展了临床病理和实验病理的诊断及基础研究。</w:t>
      </w:r>
    </w:p>
    <w:p>
      <w:pPr>
        <w:ind w:firstLine="560" w:firstLineChars="200"/>
        <w:rPr>
          <w:rFonts w:ascii="Times New Roman" w:hAnsi="Times New Roman" w:cs="Times New Roman"/>
          <w:sz w:val="28"/>
          <w:szCs w:val="36"/>
        </w:rPr>
      </w:pPr>
      <w:r>
        <w:rPr>
          <w:rFonts w:ascii="Times New Roman" w:hAnsi="Times New Roman" w:cs="Times New Roman"/>
          <w:sz w:val="28"/>
          <w:szCs w:val="36"/>
        </w:rPr>
        <w:t>作为肿瘤医院的病理科，科室秉持着“医疗质量就是生命”的服务理念，以科学、严谨、精准、高效、优质、服务、持续、创新为服务宗旨，竭诚为广大患者和临床医生提供优质的病理诊断服务。通过不断的技术创新和学科发展，科室致力于打造学科高地、人才高地、技术高地、服务高地和运行高地，为肿瘤医学领域的发展作出更大的贡献。</w:t>
      </w:r>
    </w:p>
    <w:p>
      <w:pPr>
        <w:ind w:firstLine="560" w:firstLineChars="200"/>
        <w:rPr>
          <w:rFonts w:ascii="Times New Roman" w:hAnsi="Times New Roman" w:cs="Times New Roman"/>
          <w:sz w:val="28"/>
          <w:szCs w:val="36"/>
        </w:rPr>
      </w:pPr>
    </w:p>
    <w:p>
      <w:pPr>
        <w:pStyle w:val="2"/>
        <w:jc w:val="center"/>
        <w:rPr>
          <w:rFonts w:ascii="Times New Roman" w:hAnsi="Times New Roman" w:cs="Times New Roman"/>
        </w:rPr>
      </w:pPr>
      <w:bookmarkStart w:id="2" w:name="_Toc18966"/>
      <w:r>
        <w:rPr>
          <w:rFonts w:ascii="Times New Roman" w:hAnsi="Times New Roman" w:cs="Times New Roman"/>
        </w:rPr>
        <w:t>带教老师一览表</w:t>
      </w:r>
      <w:bookmarkEnd w:id="2"/>
    </w:p>
    <w:tbl>
      <w:tblPr>
        <w:tblStyle w:val="8"/>
        <w:tblW w:w="9709" w:type="dxa"/>
        <w:tblInd w:w="-935" w:type="dxa"/>
        <w:tblLayout w:type="fixed"/>
        <w:tblCellMar>
          <w:top w:w="0" w:type="dxa"/>
          <w:left w:w="108" w:type="dxa"/>
          <w:bottom w:w="0" w:type="dxa"/>
          <w:right w:w="108" w:type="dxa"/>
        </w:tblCellMar>
      </w:tblPr>
      <w:tblGrid>
        <w:gridCol w:w="750"/>
        <w:gridCol w:w="1208"/>
        <w:gridCol w:w="1500"/>
        <w:gridCol w:w="6251"/>
      </w:tblGrid>
      <w:tr>
        <w:tblPrEx>
          <w:tblCellMar>
            <w:top w:w="0" w:type="dxa"/>
            <w:left w:w="108" w:type="dxa"/>
            <w:bottom w:w="0" w:type="dxa"/>
            <w:right w:w="108" w:type="dxa"/>
          </w:tblCellMar>
        </w:tblPrEx>
        <w:trPr>
          <w:trHeight w:val="43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类别</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姓名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职称</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专长/亚专科</w:t>
            </w:r>
          </w:p>
        </w:tc>
      </w:tr>
      <w:tr>
        <w:tblPrEx>
          <w:tblCellMar>
            <w:top w:w="0" w:type="dxa"/>
            <w:left w:w="108" w:type="dxa"/>
            <w:bottom w:w="0" w:type="dxa"/>
            <w:right w:w="108" w:type="dxa"/>
          </w:tblCellMar>
        </w:tblPrEx>
        <w:trPr>
          <w:trHeight w:val="397" w:hRule="atLeast"/>
        </w:trPr>
        <w:tc>
          <w:tcPr>
            <w:tcW w:w="75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病理诊断医师</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陈刚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淋巴血系统肿瘤、头颈部肿瘤、中枢神经系统肿瘤等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力超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胸部肿瘤、骨软组织肿瘤等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陈燕坪</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淋巴造血系统肿瘤、恶性黑色素瘤等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胡丹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女性生殖系统肿瘤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周冬梅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消化系统肿瘤、肝损伤的病理评估等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黄榕芳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乳腺肿瘤、肺肿瘤等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张和军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消化系统肿瘤、泌尿男性生殖系统肿瘤等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林丽燕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消化系统肿瘤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张静</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乳腺肿瘤、肺肿瘤等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何诚</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细胞病理诊断</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刘伟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女性生殖系统肿瘤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王健超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淋巴造血系统肿瘤、消化系统肿瘤等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卢建平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头颈部肿瘤、中枢神经系统肿瘤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陈丽芳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消化系统肿瘤、肺肿瘤等</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何同梅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女性生殖系统肿瘤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何时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淋巴造血系统肿瘤</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陈雪燕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主治医师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乳腺肿瘤、肺肿瘤等</w:t>
            </w:r>
          </w:p>
        </w:tc>
      </w:tr>
      <w:tr>
        <w:tblPrEx>
          <w:tblCellMar>
            <w:top w:w="0" w:type="dxa"/>
            <w:left w:w="108" w:type="dxa"/>
            <w:bottom w:w="0" w:type="dxa"/>
            <w:right w:w="108" w:type="dxa"/>
          </w:tblCellMar>
        </w:tblPrEx>
        <w:trPr>
          <w:trHeight w:val="397" w:hRule="atLeast"/>
        </w:trPr>
        <w:tc>
          <w:tcPr>
            <w:tcW w:w="75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常规病理技术及免疫组化</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朱伟峰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免疫组化、常规病理</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张竞时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常规病理技术</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翁秀琴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副主任技师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常规病理、免疫组化</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吴在增</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免疫组化、常规病理</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沈武成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免疫组化、常规病理</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彭凤英</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常规病理技术</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杨世娟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免疫组化、常规病理</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洪四妹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常规病理、细胞学</w:t>
            </w:r>
          </w:p>
        </w:tc>
      </w:tr>
      <w:tr>
        <w:tblPrEx>
          <w:tblCellMar>
            <w:top w:w="0" w:type="dxa"/>
            <w:left w:w="108" w:type="dxa"/>
            <w:bottom w:w="0" w:type="dxa"/>
            <w:right w:w="108" w:type="dxa"/>
          </w:tblCellMar>
        </w:tblPrEx>
        <w:trPr>
          <w:trHeight w:val="397" w:hRule="atLeast"/>
        </w:trPr>
        <w:tc>
          <w:tcPr>
            <w:tcW w:w="750"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Times New Roman" w:hAnsi="Times New Roman" w:cs="Times New Roman"/>
              </w:rPr>
            </w:pPr>
          </w:p>
        </w:tc>
        <w:tc>
          <w:tcPr>
            <w:tcW w:w="12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陈义煜</w:t>
            </w:r>
          </w:p>
        </w:tc>
        <w:tc>
          <w:tcPr>
            <w:tcW w:w="15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常规病理、细胞学</w:t>
            </w:r>
          </w:p>
        </w:tc>
      </w:tr>
      <w:tr>
        <w:tblPrEx>
          <w:tblCellMar>
            <w:top w:w="0" w:type="dxa"/>
            <w:left w:w="108" w:type="dxa"/>
            <w:bottom w:w="0" w:type="dxa"/>
            <w:right w:w="108" w:type="dxa"/>
          </w:tblCellMar>
        </w:tblPrEx>
        <w:trPr>
          <w:trHeight w:val="34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分子病理</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师怡</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副主任技师</w:t>
            </w:r>
          </w:p>
        </w:tc>
        <w:tc>
          <w:tcPr>
            <w:tcW w:w="625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NGS测序的技术和报告解读；肿瘤的鉴别诊断和分子分型、指导肿瘤靶向药物治疗、遗传和疾病复发风险评估</w:t>
            </w:r>
          </w:p>
        </w:tc>
      </w:tr>
      <w:tr>
        <w:tblPrEx>
          <w:tblCellMar>
            <w:top w:w="0" w:type="dxa"/>
            <w:left w:w="108" w:type="dxa"/>
            <w:bottom w:w="0" w:type="dxa"/>
            <w:right w:w="108" w:type="dxa"/>
          </w:tblCellMar>
        </w:tblPrEx>
        <w:trPr>
          <w:trHeight w:val="34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王晓江</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一代测序的检测和判读</w:t>
            </w:r>
          </w:p>
        </w:tc>
      </w:tr>
      <w:tr>
        <w:tblPrEx>
          <w:tblCellMar>
            <w:top w:w="0" w:type="dxa"/>
            <w:left w:w="108" w:type="dxa"/>
            <w:bottom w:w="0" w:type="dxa"/>
            <w:right w:w="108" w:type="dxa"/>
          </w:tblCellMar>
        </w:tblPrEx>
        <w:trPr>
          <w:trHeight w:val="34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柯龙凤</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PCR的检测和判读</w:t>
            </w:r>
          </w:p>
        </w:tc>
      </w:tr>
      <w:tr>
        <w:tblPrEx>
          <w:tblCellMar>
            <w:top w:w="0" w:type="dxa"/>
            <w:left w:w="108" w:type="dxa"/>
            <w:bottom w:w="0" w:type="dxa"/>
            <w:right w:w="108" w:type="dxa"/>
          </w:tblCellMar>
        </w:tblPrEx>
        <w:trPr>
          <w:trHeight w:val="34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p>
        </w:tc>
        <w:tc>
          <w:tcPr>
            <w:tcW w:w="12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陈宝珍</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主管技师</w:t>
            </w:r>
          </w:p>
        </w:tc>
        <w:tc>
          <w:tcPr>
            <w:tcW w:w="625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FISH临床诊断技术；了解各病种的基础诊断知识</w:t>
            </w:r>
          </w:p>
        </w:tc>
      </w:tr>
    </w:tbl>
    <w:p>
      <w:pPr>
        <w:pStyle w:val="2"/>
        <w:jc w:val="center"/>
        <w:rPr>
          <w:rFonts w:ascii="Times New Roman" w:hAnsi="Times New Roman" w:cs="Times New Roman"/>
        </w:rPr>
      </w:pPr>
      <w:bookmarkStart w:id="3" w:name="_Toc11954"/>
      <w:bookmarkStart w:id="4" w:name="_Toc14794"/>
      <w:r>
        <w:rPr>
          <w:rFonts w:ascii="Times New Roman" w:hAnsi="Times New Roman" w:cs="Times New Roman"/>
        </w:rPr>
        <w:t>亚专科简介</w:t>
      </w:r>
      <w:bookmarkEnd w:id="3"/>
    </w:p>
    <w:p>
      <w:pPr>
        <w:ind w:firstLine="560" w:firstLineChars="200"/>
        <w:rPr>
          <w:rFonts w:ascii="Times New Roman" w:hAnsi="Times New Roman" w:cs="Times New Roman"/>
          <w:sz w:val="28"/>
          <w:szCs w:val="36"/>
        </w:rPr>
      </w:pPr>
      <w:r>
        <w:rPr>
          <w:rFonts w:ascii="Times New Roman" w:hAnsi="Times New Roman" w:cs="Times New Roman"/>
          <w:sz w:val="28"/>
          <w:szCs w:val="36"/>
        </w:rPr>
        <w:t>病理科亚专科建设百花齐放，百家争鸣。科室已成立八支亚专科队伍，包含淋巴瘤亚专科、消化亚专科、胸部亚专科，妇科亚专科，乳腺亚专科，细胞亚专科，分子病理亚专科及病理技术亚专科，形成一支专业知识全面，技术力量较为雄厚的学术队伍。在淋巴造血系统肿瘤、消化系统肿瘤、软组织肿瘤、乳腺肿瘤、肺肿瘤等领域形成了鲜明的亚专科特色和诊断优势。</w:t>
      </w:r>
    </w:p>
    <w:p>
      <w:pPr>
        <w:outlineLvl w:val="0"/>
        <w:rPr>
          <w:rFonts w:ascii="Times New Roman" w:hAnsi="Times New Roman" w:cs="Times New Roman"/>
          <w:b/>
          <w:bCs/>
          <w:sz w:val="28"/>
          <w:szCs w:val="36"/>
        </w:rPr>
      </w:pPr>
      <w:bookmarkStart w:id="5" w:name="_Toc19957"/>
      <w:r>
        <w:rPr>
          <w:rFonts w:ascii="Times New Roman" w:hAnsi="Times New Roman" w:cs="Times New Roman"/>
          <w:b/>
          <w:bCs/>
          <w:sz w:val="28"/>
          <w:szCs w:val="36"/>
        </w:rPr>
        <w:t>1、淋巴瘤亚专科</w:t>
      </w:r>
      <w:bookmarkEnd w:id="5"/>
    </w:p>
    <w:p>
      <w:pPr>
        <w:ind w:firstLine="560" w:firstLineChars="200"/>
        <w:rPr>
          <w:rFonts w:ascii="Times New Roman" w:hAnsi="Times New Roman" w:cs="Times New Roman"/>
          <w:sz w:val="28"/>
          <w:szCs w:val="36"/>
        </w:rPr>
      </w:pPr>
      <w:r>
        <w:rPr>
          <w:rFonts w:ascii="Times New Roman" w:hAnsi="Times New Roman" w:cs="Times New Roman"/>
          <w:sz w:val="28"/>
          <w:szCs w:val="36"/>
        </w:rPr>
        <w:t>淋巴瘤亚专科在国内有较高影响力，淋巴瘤初诊/会诊病例每年达1000 余例。亚专科是首批全国淋巴瘤病理诊断培训中心，中国抗癌协会肿瘤病理专业委员、中华医学会病理学分会组长/副组长单位，牵头启动全国淋巴瘤病理多中心项目，是国家卫健委继续教育与能力建设中心首批“中国淋巴瘤专科建设项目”病理中心。亚专科定期邀请国内外专家开展淋巴瘤病理诊断新进展及规范化诊断培训班，参与制定多项共识指南，主译国际淋巴造血系统专著《血液病理学》第一版和第二版，举办“武淋讲堂”为基层淋巴瘤病理诊断能力提升做出积极贡献。</w:t>
      </w:r>
    </w:p>
    <w:p>
      <w:pPr>
        <w:ind w:firstLine="560" w:firstLineChars="200"/>
        <w:rPr>
          <w:rFonts w:ascii="Times New Roman" w:hAnsi="Times New Roman" w:cs="Times New Roman"/>
          <w:sz w:val="28"/>
          <w:szCs w:val="36"/>
        </w:rPr>
      </w:pPr>
      <w:r>
        <w:rPr>
          <w:rFonts w:ascii="Times New Roman" w:hAnsi="Times New Roman" w:cs="Times New Roman"/>
          <w:sz w:val="28"/>
          <w:szCs w:val="36"/>
        </w:rPr>
        <w:t>亚专科围绕淋巴瘤日常诊断及科研工作，常规开展原位杂交、荧光原位杂交、流式细胞表型分型、基因重排、一代测序及二代测序检测。此外，协助国家病理质控中心PQCC定期开展淋巴造血肿瘤相关CD30、CD20等指标室间质评工作。</w:t>
      </w:r>
    </w:p>
    <w:p>
      <w:pPr>
        <w:ind w:firstLine="560" w:firstLineChars="200"/>
        <w:rPr>
          <w:rFonts w:ascii="Times New Roman" w:hAnsi="Times New Roman" w:cs="Times New Roman"/>
          <w:sz w:val="28"/>
          <w:szCs w:val="36"/>
        </w:rPr>
      </w:pPr>
      <w:r>
        <w:rPr>
          <w:rFonts w:ascii="Times New Roman" w:hAnsi="Times New Roman" w:cs="Times New Roman"/>
          <w:sz w:val="28"/>
          <w:szCs w:val="36"/>
        </w:rPr>
        <w:t>学科带头人：</w:t>
      </w:r>
      <w:r>
        <w:rPr>
          <w:rFonts w:ascii="Times New Roman" w:hAnsi="Times New Roman" w:cs="Times New Roman"/>
          <w:b/>
          <w:bCs/>
          <w:sz w:val="28"/>
          <w:szCs w:val="36"/>
        </w:rPr>
        <w:t>陈刚，主任医师、博士生导师。</w:t>
      </w:r>
      <w:r>
        <w:rPr>
          <w:rFonts w:ascii="Times New Roman" w:hAnsi="Times New Roman" w:cs="Times New Roman"/>
          <w:sz w:val="28"/>
          <w:szCs w:val="36"/>
        </w:rPr>
        <w:t>从事肿瘤病理诊断及研究工作二十多年，擅长淋巴瘤及软组织病理诊断。兼任中华医学会病理学分会常务委员、中国抗癌协会肿瘤病理专业委员会常委、CSCO肿瘤病理专业委员会常委、中国研究型医院学会病理学专委会副主任委员、中国医疗保健促进委员会病理学分会副主任委员、中国医疗器械行业协会病理专业委员会副主任委员、中华医学会病理学分会技术学组组长、国家病理质控中心委员会委员兼技术质控组组长、中国抗癌协会肿瘤病理专业委员会淋巴造血疾病学组组长、中华医学会病理学分会淋巴造血疾病学组副组长、福建省抗癌协会肿瘤病理专业委员会主任委员、福建省医学会病理学分会常务委员、福建省医学会病理学分会技术学组组长。《世界卫生组织骨与软组织肿瘤分类》（第五版）、《世界卫生组织皮肤肿瘤分类》（第五版）、《中华病理学杂志》、《白血病•淋巴瘤》编委；主持翻译《Hematopathology》巨著第一版和第二版。主持和参与国家级、省厅级科研项目十余项，包括主持福建省科技重大专项1项，先后在Modern pathology、Histopathology、Am J Surg Pathol 、Cell Research、JAMA Surgery、Nature Communications、Cell Death &amp; Disease、Cancer Immunology Research、Cell reports Medicine等SCI杂志发表文章70余篇，获得专利12项。</w:t>
      </w:r>
    </w:p>
    <w:p>
      <w:pPr>
        <w:ind w:firstLine="562" w:firstLineChars="200"/>
        <w:rPr>
          <w:rFonts w:ascii="Times New Roman" w:hAnsi="Times New Roman" w:cs="Times New Roman"/>
          <w:sz w:val="28"/>
          <w:szCs w:val="36"/>
        </w:rPr>
      </w:pPr>
      <w:r>
        <w:rPr>
          <w:rFonts w:ascii="Times New Roman" w:hAnsi="Times New Roman" w:cs="Times New Roman"/>
          <w:b/>
          <w:bCs/>
          <w:sz w:val="28"/>
          <w:szCs w:val="36"/>
        </w:rPr>
        <w:t>陈燕坪，主任医师、硕士生导师。</w:t>
      </w:r>
      <w:r>
        <w:rPr>
          <w:rFonts w:ascii="Times New Roman" w:hAnsi="Times New Roman" w:cs="Times New Roman"/>
          <w:sz w:val="28"/>
          <w:szCs w:val="36"/>
        </w:rPr>
        <w:t>从事肿瘤病理诊断，尤其擅长淋巴瘤、黑色素瘤、消化系统肿瘤及呼吸系统肿瘤的病理诊断。兼任中国抗癌协会肿瘤病理专业委员会委员、中华医学会病理学分会青年委员会委员、中国医师协会病理科医师分会青年委员会委员、中国研究型医院学会病理学专业委员会青年委员、中华医学会病理学分会淋巴造血学组委员、中国抗癌协会肿瘤病理专业委员会淋巴瘤学组委员、福建省抗癌协会肿瘤病理专业委员会常务委员、福建省抗癌协会淋巴瘤专业委员会委员、福建省医学会病理分会青年委员会副主任委员、福建省医师协会病理分会青年委员会副会长。《中华病理学杂志》通讯编委、《肿瘤学杂志》青年编委、《中华病理学杂志》和《中国肿瘤临床》评审专家。近年来主持并参与10多项国家级、省级及厅级课题研究，在国内外学术刊物上发表论文40多篇。参与翻译《Hematopathology》一书，获福建省抗癌协会科技奖2项。</w:t>
      </w:r>
    </w:p>
    <w:p>
      <w:pPr>
        <w:outlineLvl w:val="0"/>
        <w:rPr>
          <w:rFonts w:ascii="Times New Roman" w:hAnsi="Times New Roman" w:cs="Times New Roman"/>
          <w:b/>
          <w:bCs/>
          <w:sz w:val="28"/>
          <w:szCs w:val="36"/>
        </w:rPr>
      </w:pPr>
      <w:bookmarkStart w:id="6" w:name="_Toc27538"/>
      <w:r>
        <w:rPr>
          <w:rFonts w:ascii="Times New Roman" w:hAnsi="Times New Roman" w:cs="Times New Roman"/>
          <w:b/>
          <w:bCs/>
          <w:sz w:val="28"/>
          <w:szCs w:val="36"/>
        </w:rPr>
        <w:t>2、消化亚专科</w:t>
      </w:r>
      <w:bookmarkEnd w:id="6"/>
    </w:p>
    <w:p>
      <w:pPr>
        <w:ind w:firstLine="560" w:firstLineChars="200"/>
        <w:rPr>
          <w:rFonts w:ascii="Times New Roman" w:hAnsi="Times New Roman" w:cs="Times New Roman"/>
          <w:sz w:val="28"/>
          <w:szCs w:val="36"/>
        </w:rPr>
      </w:pPr>
      <w:r>
        <w:rPr>
          <w:rFonts w:ascii="Times New Roman" w:hAnsi="Times New Roman" w:cs="Times New Roman"/>
          <w:sz w:val="28"/>
          <w:szCs w:val="36"/>
        </w:rPr>
        <w:t>依托我院庞大的消化系统肿瘤收治量，消化亚专科目前已建成一支具有高、中、初级医生共9人的队伍</w:t>
      </w:r>
      <w:r>
        <w:rPr>
          <w:rFonts w:hint="eastAsia" w:ascii="Times New Roman" w:hAnsi="Times New Roman" w:cs="Times New Roman"/>
          <w:sz w:val="28"/>
          <w:szCs w:val="36"/>
        </w:rPr>
        <w:t>，</w:t>
      </w:r>
      <w:r>
        <w:rPr>
          <w:rFonts w:ascii="Times New Roman" w:hAnsi="Times New Roman" w:cs="Times New Roman"/>
          <w:sz w:val="28"/>
          <w:szCs w:val="36"/>
        </w:rPr>
        <w:t>消化亚专科病理诊断水平位居省内一流，国内前列。亚专科全面开展各种消化系统肿瘤诊疗相关指标的检测，为临床针对消化系统肿瘤的个体化治疗提供了保证；积极配合临床需求，构建了免疫治疗肝损伤的病理评估体系；亚专科成员积极参与胃肠道肿瘤、胃肠道间质瘤、肝胆胰肿瘤以及胃肠胰神经内分泌肿瘤的MDT及各层次学术交流，患者及临床满意度和学术影响力获得提升。经过团队成员的通力协作，该亚专科具有良好的临床效果及社会影响力，形成了自己的特色和优势，使我院消化系统肿瘤的诊断水平处于省内一流、国内前列的地位。</w:t>
      </w:r>
    </w:p>
    <w:p>
      <w:pPr>
        <w:ind w:firstLine="560" w:firstLineChars="200"/>
        <w:rPr>
          <w:rFonts w:ascii="Times New Roman" w:hAnsi="Times New Roman" w:cs="Times New Roman"/>
          <w:sz w:val="28"/>
          <w:szCs w:val="36"/>
        </w:rPr>
      </w:pPr>
      <w:r>
        <w:rPr>
          <w:rFonts w:hint="eastAsia" w:ascii="Times New Roman" w:hAnsi="Times New Roman" w:cs="Times New Roman"/>
          <w:sz w:val="28"/>
          <w:szCs w:val="36"/>
        </w:rPr>
        <w:t>学科带头人：</w:t>
      </w:r>
      <w:r>
        <w:rPr>
          <w:rFonts w:hint="eastAsia" w:ascii="Times New Roman" w:hAnsi="Times New Roman" w:cs="Times New Roman"/>
          <w:b/>
          <w:bCs/>
          <w:sz w:val="28"/>
          <w:szCs w:val="36"/>
        </w:rPr>
        <w:t>郑雄伟，主任医师、硕士生导师、福建省卫生计生系统有突出贡献中青年专家。</w:t>
      </w:r>
      <w:r>
        <w:rPr>
          <w:rFonts w:hint="eastAsia" w:ascii="Times New Roman" w:hAnsi="Times New Roman" w:cs="Times New Roman"/>
          <w:sz w:val="28"/>
          <w:szCs w:val="36"/>
        </w:rPr>
        <w:t>主要从事肿瘤病理诊断、分子病理学相关工作，特别在消化道、软组织以及恶性淋巴瘤病理诊断上有一定的造诣。兼任中国临床肿瘤学会肿瘤病理专家委员会副主任委员、中华医学会肿瘤学分会委员、中国抗癌协会理事/肿瘤病理专业委员会常委、中国医院协会理事/肿瘤医院管理分会常委、福建省抗癌协会副理事长、福建省医师协会副会长、福建省医院协会副会长、福建省医学会肿瘤学分会主任委员、福建省抗癌协会肿瘤病理学专业委员会名誉主任委员、福建省病理质控中心副主任。主持或参与国家自然科学基金面上项目、国家卫生计生委、福建省科技厅及省卫生计生委课题共16项。近年来，在SCI或国内一线医学期刊发表文章共50多篇。荣获福建省科技进步奖一等奖、二等奖、三等奖各一项，福建省医学科技奖一等奖、三等奖各两项。参与编写《常见肿瘤病理组织学与免疫组织化学彩色图谱》（福建科学技术出版社）。</w:t>
      </w:r>
    </w:p>
    <w:p>
      <w:pPr>
        <w:outlineLvl w:val="0"/>
        <w:rPr>
          <w:rFonts w:ascii="Times New Roman" w:hAnsi="Times New Roman" w:cs="Times New Roman"/>
          <w:b/>
          <w:bCs/>
          <w:sz w:val="28"/>
          <w:szCs w:val="36"/>
        </w:rPr>
      </w:pPr>
      <w:bookmarkStart w:id="7" w:name="_Toc14460"/>
      <w:r>
        <w:rPr>
          <w:rFonts w:ascii="Times New Roman" w:hAnsi="Times New Roman" w:cs="Times New Roman"/>
          <w:b/>
          <w:bCs/>
          <w:sz w:val="28"/>
          <w:szCs w:val="36"/>
        </w:rPr>
        <w:t>3、胸部亚专科</w:t>
      </w:r>
      <w:bookmarkEnd w:id="7"/>
    </w:p>
    <w:p>
      <w:pPr>
        <w:ind w:firstLine="560" w:firstLineChars="200"/>
        <w:rPr>
          <w:rFonts w:ascii="Times New Roman" w:hAnsi="Times New Roman" w:cs="Times New Roman"/>
          <w:sz w:val="28"/>
          <w:szCs w:val="36"/>
        </w:rPr>
      </w:pPr>
      <w:r>
        <w:rPr>
          <w:rFonts w:ascii="Times New Roman" w:hAnsi="Times New Roman" w:cs="Times New Roman"/>
          <w:sz w:val="28"/>
          <w:szCs w:val="36"/>
        </w:rPr>
        <w:t>胸部病理亚专科自成立以来，共承担参与国家级及省部级科研项目10余项，发表胸部肿瘤相关SCI论文及国内外核心期刊论文30余篇（SCI收录25篇），多项研究成果在国内肺癌会议中进行口头及壁报交流，并被国内外学术指南引用，参与编写中国非小细胞肺癌ALK检测临床实践等专家共识。荣获省部级、厅级科技成果2项。近年来专攻肺癌免疫微环境及肺腺鳞癌起源研究，相关PD-L1系列研究结果被两个国家指南引用。并获得2021年福建医学科技奖二等奖，2021年福建省科学技术进步三等奖。在力超教授带领下，团队掌握最新的分子病理技术，在国内率先建立肺癌PD-L1检测平台，并推进和开展胸部肿瘤NGS检测技术，为临床免疫治疗、罕见肺癌靶点基因提供精准检测，极大推进胸部肿瘤病理诊断发展。</w:t>
      </w:r>
    </w:p>
    <w:p>
      <w:pPr>
        <w:ind w:firstLine="560" w:firstLineChars="200"/>
        <w:rPr>
          <w:rFonts w:ascii="Times New Roman" w:hAnsi="Times New Roman" w:cs="Times New Roman"/>
          <w:sz w:val="28"/>
          <w:szCs w:val="36"/>
        </w:rPr>
      </w:pPr>
      <w:r>
        <w:rPr>
          <w:rFonts w:hint="eastAsia" w:ascii="Times New Roman" w:hAnsi="Times New Roman" w:cs="Times New Roman"/>
          <w:sz w:val="28"/>
          <w:szCs w:val="36"/>
        </w:rPr>
        <w:t>学科带头人：</w:t>
      </w:r>
      <w:r>
        <w:rPr>
          <w:rFonts w:ascii="Times New Roman" w:hAnsi="Times New Roman" w:cs="Times New Roman"/>
          <w:b/>
          <w:bCs/>
          <w:sz w:val="28"/>
          <w:szCs w:val="36"/>
        </w:rPr>
        <w:t>力超，教育处主任、病理科行政副主任、主任医师、硕士生导师。</w:t>
      </w:r>
      <w:r>
        <w:rPr>
          <w:rFonts w:ascii="Times New Roman" w:hAnsi="Times New Roman" w:cs="Times New Roman"/>
          <w:sz w:val="28"/>
          <w:szCs w:val="36"/>
        </w:rPr>
        <w:t>从事肿瘤病理诊断、科研及教学工作二十多年，在临床肿瘤病理诊断工作中积累了较丰富的经验，尤其在软组织、乳腺、呼吸和消化系统病理方面。兼任中国女医师协会病理专业委员会常委、中国病理学工作者委员会常务委员、中国抗癌协会乳腺癌专业委员会乳腺病理学组成员、中华医学会病理专业委员会骨和软组织学组成员、中国抗癌协会肿瘤病理专业委员会骨和软组织学组成员、福建省医学会病理专业委员会副主任委员、福建省抗癌协会肿瘤病理专业委员会副主任委员、福建省抗癌协会肿瘤标志物专业委员会常务委员、北京医学奖励基金会肿瘤多学科诊疗专家委员会常委、福建省抗癌协会肺癌专业委员会委员、福建省抗癌协会肿瘤免疫治疗专业委员会委员、福建省医师协会病理科医师分会委员、福建省医学会乳腺疾病委员会委员、福建省医师协会病理科医师分会骨与软组织学组副主任委员</w:t>
      </w:r>
      <w:r>
        <w:rPr>
          <w:rFonts w:hint="eastAsia" w:ascii="Times New Roman" w:hAnsi="Times New Roman" w:cs="Times New Roman"/>
          <w:sz w:val="28"/>
          <w:szCs w:val="36"/>
        </w:rPr>
        <w:t>。</w:t>
      </w:r>
      <w:r>
        <w:rPr>
          <w:rFonts w:ascii="Times New Roman" w:hAnsi="Times New Roman" w:cs="Times New Roman"/>
          <w:sz w:val="28"/>
          <w:szCs w:val="36"/>
        </w:rPr>
        <w:t>承担并参与国家级、省级科技计划项目19项。</w:t>
      </w:r>
    </w:p>
    <w:p>
      <w:pPr>
        <w:outlineLvl w:val="0"/>
        <w:rPr>
          <w:rFonts w:ascii="Times New Roman" w:hAnsi="Times New Roman" w:cs="Times New Roman"/>
          <w:b/>
          <w:bCs/>
          <w:sz w:val="28"/>
          <w:szCs w:val="36"/>
        </w:rPr>
      </w:pPr>
      <w:bookmarkStart w:id="8" w:name="_Toc22703"/>
      <w:r>
        <w:rPr>
          <w:rFonts w:ascii="Times New Roman" w:hAnsi="Times New Roman" w:cs="Times New Roman"/>
          <w:b/>
          <w:bCs/>
          <w:sz w:val="28"/>
          <w:szCs w:val="36"/>
        </w:rPr>
        <w:t>4、妇科亚专科</w:t>
      </w:r>
      <w:bookmarkEnd w:id="8"/>
    </w:p>
    <w:p>
      <w:pPr>
        <w:ind w:firstLine="560" w:firstLineChars="200"/>
        <w:rPr>
          <w:rFonts w:ascii="Times New Roman" w:hAnsi="Times New Roman" w:cs="Times New Roman"/>
          <w:sz w:val="28"/>
          <w:szCs w:val="36"/>
        </w:rPr>
      </w:pPr>
      <w:r>
        <w:rPr>
          <w:rFonts w:ascii="Times New Roman" w:hAnsi="Times New Roman" w:cs="Times New Roman"/>
          <w:sz w:val="28"/>
          <w:szCs w:val="36"/>
        </w:rPr>
        <w:t>妇科亚专科</w:t>
      </w:r>
      <w:r>
        <w:rPr>
          <w:rFonts w:hint="eastAsia" w:ascii="Times New Roman" w:hAnsi="Times New Roman" w:cs="Times New Roman"/>
          <w:sz w:val="28"/>
          <w:szCs w:val="36"/>
        </w:rPr>
        <w:t>是一个较为成熟的亚专科，团队成员8人，其中病理诊断医师4人，病理技术4人；高级职称2人，中级职称4人，博士1人，硕士4人。亚专科</w:t>
      </w:r>
      <w:r>
        <w:rPr>
          <w:rFonts w:ascii="Times New Roman" w:hAnsi="Times New Roman" w:cs="Times New Roman"/>
          <w:sz w:val="28"/>
          <w:szCs w:val="36"/>
        </w:rPr>
        <w:t>开展妇科肿瘤分子病理诊断项目，包括：HPV-DNA分型、BRCA1/BRCA2基因检测、FOXL2/ DICER1基因检测、JAZF1/YWHAE/BCOR FISH、子宫内膜癌分子分型、林奇综合征检测、宫颈癌甲基化以及妇科肿瘤二代测序等。近5年来，亚专科成员参与国家自然科学基金项目2项，主持省部级课题3项，厅级课题3项，总科研基金100余万元；发表SCI论文及核心统计源期刊论文20余篇；主译专著《妇科病理学图谱》；承担福建医科大学本科生理论授课，多次获院优秀教师及教师竞赛奖。</w:t>
      </w:r>
    </w:p>
    <w:p>
      <w:pPr>
        <w:ind w:firstLine="560" w:firstLineChars="200"/>
        <w:rPr>
          <w:rFonts w:ascii="Times New Roman" w:hAnsi="Times New Roman" w:cs="Times New Roman"/>
          <w:sz w:val="28"/>
          <w:szCs w:val="36"/>
        </w:rPr>
      </w:pPr>
      <w:r>
        <w:rPr>
          <w:rFonts w:hint="eastAsia" w:ascii="Times New Roman" w:hAnsi="Times New Roman" w:cs="Times New Roman"/>
          <w:sz w:val="28"/>
          <w:szCs w:val="36"/>
        </w:rPr>
        <w:t>学科带头人：</w:t>
      </w:r>
      <w:r>
        <w:rPr>
          <w:rFonts w:ascii="Times New Roman" w:hAnsi="Times New Roman" w:cs="Times New Roman"/>
          <w:b/>
          <w:bCs/>
          <w:sz w:val="28"/>
          <w:szCs w:val="36"/>
        </w:rPr>
        <w:t>胡丹，主任医师、硕士生导师、病理科规培基地教学主任。</w:t>
      </w:r>
      <w:r>
        <w:rPr>
          <w:rFonts w:ascii="Times New Roman" w:hAnsi="Times New Roman" w:cs="Times New Roman"/>
          <w:sz w:val="28"/>
          <w:szCs w:val="36"/>
        </w:rPr>
        <w:t>福建省高层次人才C类、第四届中国杰出青年病理医师，吴秉铨病理专项奖学金获得者。擅长妇科病理及乳腺病理诊断。兼任国际妇科病理学家协会会员</w:t>
      </w:r>
      <w:r>
        <w:rPr>
          <w:rFonts w:hint="eastAsia" w:ascii="Times New Roman" w:hAnsi="Times New Roman" w:cs="Times New Roman"/>
          <w:sz w:val="28"/>
          <w:szCs w:val="36"/>
        </w:rPr>
        <w:t>（</w:t>
      </w:r>
      <w:r>
        <w:rPr>
          <w:rFonts w:ascii="Times New Roman" w:hAnsi="Times New Roman" w:cs="Times New Roman"/>
          <w:sz w:val="28"/>
          <w:szCs w:val="36"/>
        </w:rPr>
        <w:t>ISGy</w:t>
      </w:r>
      <w:r>
        <w:rPr>
          <w:rFonts w:hint="eastAsia" w:ascii="Times New Roman" w:hAnsi="Times New Roman" w:cs="Times New Roman"/>
          <w:sz w:val="28"/>
          <w:szCs w:val="36"/>
        </w:rPr>
        <w:t>）</w:t>
      </w:r>
      <w:r>
        <w:rPr>
          <w:rFonts w:ascii="Times New Roman" w:hAnsi="Times New Roman" w:cs="Times New Roman"/>
          <w:sz w:val="28"/>
          <w:szCs w:val="36"/>
        </w:rPr>
        <w:t>、中华医学会病理学分会女性生殖疾病学组委员、福建省抗癌协会肿瘤病理专业委员会常务委员、福建省抗癌协会肿瘤内分泌与生育力保护专业委员会常务委员、福建省抗癌协会肿瘤病理专业委员会常务委员福建省抗癌协会福建省医学会病理学会青委会副主任委员、中国妇幼保健协会病理专业委员会委员、福建省医学会妇科分会病理学组委员。主译妇科病理专著《Atlas of Gynecologic Surgical</w:t>
      </w:r>
      <w:r>
        <w:rPr>
          <w:rFonts w:hint="eastAsia" w:ascii="Times New Roman" w:hAnsi="Times New Roman" w:cs="Times New Roman"/>
          <w:sz w:val="28"/>
          <w:szCs w:val="36"/>
        </w:rPr>
        <w:t xml:space="preserve"> </w:t>
      </w:r>
      <w:r>
        <w:rPr>
          <w:rFonts w:ascii="Times New Roman" w:hAnsi="Times New Roman" w:cs="Times New Roman"/>
          <w:sz w:val="28"/>
          <w:szCs w:val="36"/>
        </w:rPr>
        <w:t>Pathology》。发表文章30余篇，主持省级课题4项，参与多项国家级及省级课题。获福建省自然科学论文二等奖（排名第一），以主要完成人获福建医学科技一等奖、福建医学科技进步三等奖、福建省抗癌协会科技进步奖三等奖。</w:t>
      </w:r>
    </w:p>
    <w:p>
      <w:pPr>
        <w:outlineLvl w:val="0"/>
        <w:rPr>
          <w:rFonts w:ascii="Times New Roman" w:hAnsi="Times New Roman" w:cs="Times New Roman"/>
          <w:b/>
          <w:bCs/>
          <w:sz w:val="28"/>
          <w:szCs w:val="36"/>
        </w:rPr>
      </w:pPr>
      <w:bookmarkStart w:id="9" w:name="_Toc15032"/>
      <w:r>
        <w:rPr>
          <w:rFonts w:ascii="Times New Roman" w:hAnsi="Times New Roman" w:cs="Times New Roman"/>
          <w:b/>
          <w:bCs/>
          <w:sz w:val="28"/>
          <w:szCs w:val="36"/>
        </w:rPr>
        <w:t>5、乳腺亚专科</w:t>
      </w:r>
      <w:bookmarkEnd w:id="9"/>
    </w:p>
    <w:p>
      <w:pPr>
        <w:ind w:firstLine="560" w:firstLineChars="200"/>
        <w:rPr>
          <w:rFonts w:ascii="Times New Roman" w:hAnsi="Times New Roman" w:cs="Times New Roman"/>
          <w:sz w:val="28"/>
          <w:szCs w:val="36"/>
        </w:rPr>
      </w:pPr>
      <w:r>
        <w:rPr>
          <w:rFonts w:ascii="Times New Roman" w:hAnsi="Times New Roman" w:cs="Times New Roman"/>
          <w:sz w:val="28"/>
          <w:szCs w:val="36"/>
        </w:rPr>
        <w:t>乳腺亚专科是一支年轻的队伍，但病例诊断数逐年攀升，乳腺癌诊断病例位居全省前列。乳腺亚专科目前开展的技术包括免疫组化技术、荧光原位杂交技术、BRCA1/2基因突变、PI3KCA基因检测及其他与乳腺癌病理诊断和靶向用药指导相关基因的检测，计划引进Mamma</w:t>
      </w:r>
      <w:r>
        <w:rPr>
          <w:rFonts w:hint="eastAsia" w:ascii="Times New Roman" w:hAnsi="Times New Roman" w:cs="Times New Roman"/>
          <w:sz w:val="28"/>
          <w:szCs w:val="36"/>
        </w:rPr>
        <w:t xml:space="preserve"> </w:t>
      </w:r>
      <w:r>
        <w:rPr>
          <w:rFonts w:ascii="Times New Roman" w:hAnsi="Times New Roman" w:cs="Times New Roman"/>
          <w:sz w:val="28"/>
          <w:szCs w:val="36"/>
        </w:rPr>
        <w:t>Print</w:t>
      </w:r>
      <w:r>
        <w:rPr>
          <w:rFonts w:hint="eastAsia" w:ascii="Times New Roman" w:hAnsi="Times New Roman" w:cs="Times New Roman"/>
          <w:sz w:val="28"/>
          <w:szCs w:val="36"/>
        </w:rPr>
        <w:t>“</w:t>
      </w:r>
      <w:r>
        <w:rPr>
          <w:rFonts w:ascii="Times New Roman" w:hAnsi="Times New Roman" w:cs="Times New Roman"/>
          <w:sz w:val="28"/>
          <w:szCs w:val="36"/>
        </w:rPr>
        <w:t>70基因检测</w:t>
      </w:r>
      <w:r>
        <w:rPr>
          <w:rFonts w:hint="eastAsia" w:ascii="Times New Roman" w:hAnsi="Times New Roman" w:cs="Times New Roman"/>
          <w:sz w:val="28"/>
          <w:szCs w:val="36"/>
        </w:rPr>
        <w:t>”</w:t>
      </w:r>
      <w:r>
        <w:rPr>
          <w:rFonts w:ascii="Times New Roman" w:hAnsi="Times New Roman" w:cs="Times New Roman"/>
          <w:sz w:val="28"/>
          <w:szCs w:val="36"/>
        </w:rPr>
        <w:t>，以指导疾病的精准诊疗。成员近年来共主持参与国家级及省部级科研课题8项，参译专著3部，发表SCI论文及国内核心期刊论文20余篇。亚专科参与全国乳腺病理多中心项目，并通过基层帮扶工作，为基层医院乳腺病理诊断提供帮助。</w:t>
      </w:r>
    </w:p>
    <w:p>
      <w:pPr>
        <w:ind w:firstLine="560" w:firstLineChars="200"/>
        <w:rPr>
          <w:rFonts w:ascii="Times New Roman" w:hAnsi="Times New Roman" w:cs="Times New Roman"/>
          <w:sz w:val="28"/>
          <w:szCs w:val="36"/>
        </w:rPr>
      </w:pPr>
      <w:r>
        <w:rPr>
          <w:rFonts w:hint="eastAsia" w:ascii="Times New Roman" w:hAnsi="Times New Roman" w:cs="Times New Roman"/>
          <w:sz w:val="28"/>
          <w:szCs w:val="36"/>
        </w:rPr>
        <w:t>学科带头人：</w:t>
      </w:r>
      <w:r>
        <w:rPr>
          <w:rFonts w:hint="eastAsia" w:ascii="Times New Roman" w:hAnsi="Times New Roman" w:cs="Times New Roman"/>
          <w:b/>
          <w:bCs/>
          <w:sz w:val="28"/>
          <w:szCs w:val="36"/>
        </w:rPr>
        <w:t>黄榕芳，</w:t>
      </w:r>
      <w:r>
        <w:rPr>
          <w:rFonts w:ascii="Times New Roman" w:hAnsi="Times New Roman" w:cs="Times New Roman"/>
          <w:b/>
          <w:bCs/>
          <w:sz w:val="28"/>
          <w:szCs w:val="36"/>
        </w:rPr>
        <w:t>副主任医师、硕士生导师。</w:t>
      </w:r>
      <w:r>
        <w:rPr>
          <w:rFonts w:hint="eastAsia" w:ascii="Times New Roman" w:hAnsi="Times New Roman" w:cs="Times New Roman"/>
          <w:sz w:val="28"/>
          <w:szCs w:val="36"/>
        </w:rPr>
        <w:t>擅长乳腺肿瘤、肺肿瘤及软组织肿瘤</w:t>
      </w:r>
      <w:r>
        <w:rPr>
          <w:rFonts w:ascii="Times New Roman" w:hAnsi="Times New Roman" w:cs="Times New Roman"/>
          <w:sz w:val="28"/>
          <w:szCs w:val="36"/>
        </w:rPr>
        <w:t>病理诊断。兼任中国抗癌协会肿瘤病理专业委员会骨和软组织学组委员、中国抗癌协会胃肠间质瘤专业委员会病理协作组委员、中国抗癌协会肿瘤病理专业委员会胃肠间质瘤协作组委员、福建省抗癌协会肿瘤病理专业委员会委员、福建省医师协会病理科医师分会青年委员会委员、福建省医师协会病理科医师分会乳腺疾病专业委员会委员、福建省抗癌协会肺癌专业委员会青年委员会委员。2008年从事临床病理诊断工作至今，先后两次在复旦大学附属肿瘤医院进修学习，接受乳腺病理专科培训，师从杨文涛教授。先后主持或参与福建省自然科学基金资助项目、福建省科技计划项目等科研项目，参与译著2部。亚专科成员中硕士研究生导师1人，引进人才1人，博士学位1人，硕士学位3人。</w:t>
      </w:r>
    </w:p>
    <w:p>
      <w:pPr>
        <w:outlineLvl w:val="0"/>
        <w:rPr>
          <w:rFonts w:ascii="Times New Roman" w:hAnsi="Times New Roman" w:cs="Times New Roman"/>
          <w:b/>
          <w:bCs/>
          <w:sz w:val="28"/>
          <w:szCs w:val="36"/>
        </w:rPr>
      </w:pPr>
      <w:bookmarkStart w:id="10" w:name="_Toc1636"/>
      <w:r>
        <w:rPr>
          <w:rFonts w:ascii="Times New Roman" w:hAnsi="Times New Roman" w:cs="Times New Roman"/>
          <w:b/>
          <w:bCs/>
          <w:sz w:val="28"/>
          <w:szCs w:val="36"/>
        </w:rPr>
        <w:t>6、分子病理亚专科</w:t>
      </w:r>
      <w:bookmarkEnd w:id="10"/>
    </w:p>
    <w:p>
      <w:pPr>
        <w:ind w:firstLine="560" w:firstLineChars="200"/>
        <w:rPr>
          <w:rFonts w:ascii="Times New Roman" w:hAnsi="Times New Roman" w:cs="Times New Roman"/>
          <w:sz w:val="28"/>
          <w:szCs w:val="36"/>
        </w:rPr>
      </w:pPr>
      <w:r>
        <w:rPr>
          <w:rFonts w:ascii="Times New Roman" w:hAnsi="Times New Roman" w:cs="Times New Roman"/>
          <w:sz w:val="28"/>
          <w:szCs w:val="36"/>
        </w:rPr>
        <w:t>分子病理亚专科2008年开始筹建，经过15年的快速发展，目前已建设成为省内规模最大、设备最先进的分子病理诊断和研究中心。亚专科队伍年轻且实力较强，含正高职称1人，副高职称3人，博硕士10人。</w:t>
      </w:r>
    </w:p>
    <w:p>
      <w:pPr>
        <w:ind w:firstLine="560" w:firstLineChars="200"/>
        <w:rPr>
          <w:rFonts w:ascii="Times New Roman" w:hAnsi="Times New Roman" w:cs="Times New Roman"/>
          <w:sz w:val="28"/>
          <w:szCs w:val="36"/>
        </w:rPr>
      </w:pPr>
      <w:r>
        <w:rPr>
          <w:rFonts w:ascii="Times New Roman" w:hAnsi="Times New Roman" w:cs="Times New Roman"/>
          <w:sz w:val="28"/>
          <w:szCs w:val="36"/>
        </w:rPr>
        <w:t>分子病理实验室已配备NGS、PCR、FISH和流式四大技术平台，成功开展肺癌、结直肠癌、甲状腺癌、子宫内膜癌、乳腺癌、肝癌、淋巴瘤等多种肿瘤及遗传病方面的基因检测，目前开展的检测项目达70余项，年检测量约3万例。疫情期间开展新冠检测项目，顺利完成超过140万例（时间截至2023年1月）的检测量。自2012年以来每年均通过国内各项质控项目能力认证并实行严格的质量管理，定期参加国家病理质控室间质评（PQCC）</w:t>
      </w:r>
      <w:r>
        <w:rPr>
          <w:rFonts w:hint="eastAsia" w:ascii="Times New Roman" w:hAnsi="Times New Roman" w:cs="Times New Roman"/>
          <w:sz w:val="28"/>
          <w:szCs w:val="36"/>
        </w:rPr>
        <w:t>，</w:t>
      </w:r>
      <w:r>
        <w:rPr>
          <w:rFonts w:ascii="Times New Roman" w:hAnsi="Times New Roman" w:cs="Times New Roman"/>
          <w:sz w:val="28"/>
          <w:szCs w:val="36"/>
        </w:rPr>
        <w:t>自2017年连续三届获得</w:t>
      </w:r>
      <w:r>
        <w:rPr>
          <w:rFonts w:hint="eastAsia" w:ascii="Times New Roman" w:hAnsi="Times New Roman" w:cs="Times New Roman"/>
          <w:sz w:val="28"/>
          <w:szCs w:val="36"/>
        </w:rPr>
        <w:t>“</w:t>
      </w:r>
      <w:r>
        <w:rPr>
          <w:rFonts w:ascii="Times New Roman" w:hAnsi="Times New Roman" w:cs="Times New Roman"/>
          <w:sz w:val="28"/>
          <w:szCs w:val="36"/>
        </w:rPr>
        <w:t>PQCC示范实验室</w:t>
      </w:r>
      <w:r>
        <w:rPr>
          <w:rFonts w:hint="eastAsia" w:ascii="Times New Roman" w:hAnsi="Times New Roman" w:cs="Times New Roman"/>
          <w:sz w:val="28"/>
          <w:szCs w:val="36"/>
        </w:rPr>
        <w:t>”</w:t>
      </w:r>
      <w:r>
        <w:rPr>
          <w:rFonts w:ascii="Times New Roman" w:hAnsi="Times New Roman" w:cs="Times New Roman"/>
          <w:sz w:val="28"/>
          <w:szCs w:val="36"/>
        </w:rPr>
        <w:t>称号。亚专科在省内率先举办NGS培训班，为省内培养NGS技术人才；在临床科室开展</w:t>
      </w:r>
      <w:r>
        <w:rPr>
          <w:rFonts w:hint="eastAsia" w:ascii="Times New Roman" w:hAnsi="Times New Roman" w:cs="Times New Roman"/>
          <w:sz w:val="28"/>
          <w:szCs w:val="36"/>
        </w:rPr>
        <w:t>“</w:t>
      </w:r>
      <w:r>
        <w:rPr>
          <w:rFonts w:ascii="Times New Roman" w:hAnsi="Times New Roman" w:cs="Times New Roman"/>
          <w:sz w:val="28"/>
          <w:szCs w:val="36"/>
        </w:rPr>
        <w:t>分子病理培训</w:t>
      </w:r>
      <w:r>
        <w:rPr>
          <w:rFonts w:hint="eastAsia" w:ascii="Times New Roman" w:hAnsi="Times New Roman" w:cs="Times New Roman"/>
          <w:sz w:val="28"/>
          <w:szCs w:val="36"/>
        </w:rPr>
        <w:t>”</w:t>
      </w:r>
      <w:r>
        <w:rPr>
          <w:rFonts w:ascii="Times New Roman" w:hAnsi="Times New Roman" w:cs="Times New Roman"/>
          <w:sz w:val="28"/>
          <w:szCs w:val="36"/>
        </w:rPr>
        <w:t>月，进行乳腺癌等专题巡讲，加深与临床的合作与交流。</w:t>
      </w:r>
    </w:p>
    <w:p>
      <w:pPr>
        <w:ind w:firstLine="560" w:firstLineChars="200"/>
        <w:rPr>
          <w:rFonts w:ascii="Times New Roman" w:hAnsi="Times New Roman" w:cs="Times New Roman"/>
          <w:sz w:val="28"/>
          <w:szCs w:val="36"/>
        </w:rPr>
      </w:pPr>
      <w:r>
        <w:rPr>
          <w:rFonts w:hint="eastAsia" w:ascii="Times New Roman" w:hAnsi="Times New Roman" w:cs="Times New Roman"/>
          <w:sz w:val="28"/>
          <w:szCs w:val="36"/>
        </w:rPr>
        <w:t>学科带头人：</w:t>
      </w:r>
      <w:r>
        <w:rPr>
          <w:rFonts w:hint="eastAsia" w:ascii="Times New Roman" w:hAnsi="Times New Roman" w:cs="Times New Roman"/>
          <w:b/>
          <w:bCs/>
          <w:sz w:val="28"/>
          <w:szCs w:val="36"/>
        </w:rPr>
        <w:t>师怡，分子病理研究室副主任，副主任技师、硕士生导师。</w:t>
      </w:r>
      <w:r>
        <w:rPr>
          <w:rFonts w:hint="eastAsia" w:ascii="Times New Roman" w:hAnsi="Times New Roman" w:cs="Times New Roman"/>
          <w:sz w:val="28"/>
          <w:szCs w:val="36"/>
        </w:rPr>
        <w:t>主要从事肿瘤的分子诊断工作。兼任中华医学会病理学分会第十三届分子病理学组委员、中国抗癌协会第六届肿瘤病理专委会肺癌病理学组委员、福建省抗癌协会肿瘤病理专业委员会青年委员会委员兼秘书、福建省医学会妇产科学分会第九届委员会病理学组委员、福建省医学会病理专科分会第四届委员会病理技术学组成员、福建省抗癌协会第一届大肠癌专业委员会遗传学组组员、福建省抗癌协会第二届肿瘤内科专业委员会委员、中国医师协会医学技师专业委员会第一届委员会委员、中国抗癌协会肿瘤标志专业委员会会员、中国研究型医院学会病理学专业委员会青年委员会委员。主持省科技创新联合资金攀登项目、省自然科学基金面上项目、省卫计委中青年骨干人才培养计划项目和青年科研课题等多项科研课题，以第一作者发表SCI论文6篇，中文论文10余篇。</w:t>
      </w:r>
    </w:p>
    <w:p>
      <w:pPr>
        <w:outlineLvl w:val="0"/>
        <w:rPr>
          <w:rFonts w:ascii="Times New Roman" w:hAnsi="Times New Roman" w:cs="Times New Roman"/>
          <w:b/>
          <w:bCs/>
          <w:sz w:val="28"/>
          <w:szCs w:val="36"/>
        </w:rPr>
      </w:pPr>
      <w:bookmarkStart w:id="11" w:name="_Toc24825"/>
      <w:r>
        <w:rPr>
          <w:rFonts w:ascii="Times New Roman" w:hAnsi="Times New Roman" w:cs="Times New Roman"/>
          <w:b/>
          <w:bCs/>
          <w:sz w:val="28"/>
          <w:szCs w:val="36"/>
        </w:rPr>
        <w:t>7、病理技术亚专科</w:t>
      </w:r>
      <w:bookmarkEnd w:id="11"/>
    </w:p>
    <w:p>
      <w:pPr>
        <w:ind w:firstLine="560" w:firstLineChars="200"/>
        <w:rPr>
          <w:rFonts w:ascii="Times New Roman" w:hAnsi="Times New Roman" w:cs="Times New Roman"/>
          <w:sz w:val="28"/>
          <w:szCs w:val="36"/>
        </w:rPr>
      </w:pPr>
      <w:r>
        <w:rPr>
          <w:rFonts w:ascii="Times New Roman" w:hAnsi="Times New Roman" w:cs="Times New Roman"/>
          <w:sz w:val="28"/>
          <w:szCs w:val="36"/>
        </w:rPr>
        <w:t>病理技术亚专科自1986年建科即成立，经过36年的发展，目前已形成一支包含31人的技术团队，其中副主任技师3人，硕士3人。技术组开展项目涵盖组织病理和细胞病理，拥有全自动组织脱水仪、染色仪、液基细胞制片仪及全流程病理管理等自动化设备，免疫组化室配备ROCHE ULTRA PLUS、DAKO Omnis免疫组化仪，设备先进，高效制片。</w:t>
      </w:r>
    </w:p>
    <w:p>
      <w:pPr>
        <w:ind w:firstLine="560" w:firstLineChars="200"/>
        <w:rPr>
          <w:rFonts w:ascii="Times New Roman" w:hAnsi="Times New Roman" w:cs="Times New Roman"/>
          <w:sz w:val="28"/>
          <w:szCs w:val="36"/>
        </w:rPr>
      </w:pPr>
      <w:r>
        <w:rPr>
          <w:rFonts w:ascii="Times New Roman" w:hAnsi="Times New Roman" w:cs="Times New Roman"/>
          <w:sz w:val="28"/>
          <w:szCs w:val="36"/>
        </w:rPr>
        <w:t>病理技术亚专科多年来在全国性比赛中屡获佳绩：2021年在福建省病理青年技师综合知识竞赛中获优胜奖；亚专科成员在全国冰冻切片大赛、福建省病理技术竞赛、福建省常规制片竞赛中均获奖项。吴在增主管技师带领亚专科成员钻研发明创造，先后申请获得2项发明专利，6项实用新型专利，包括组织包埋模具、冰冻机用包埋模具、具有定位功能的载玻片等，应用广泛，功能强大。2023年1月亚专科项目“显微镜下万花筒，苏木素-伊红（HE）染色”在“创青春”首届全国卫生健康行业青年创新大赛中获“临床医学类优秀奖”。作为中华医学会技术学组组长单位，在国家病理质控中心委员会委员兼技术质控组组长陈刚教授的带领下，亚专科始终坚持高水平的质量控制，每年参加并通过国家卫健委病理质控中心（PQCC）和福建省病理质量控制中心组织的室间质评。</w:t>
      </w:r>
    </w:p>
    <w:p>
      <w:pPr>
        <w:rPr>
          <w:rFonts w:ascii="Times New Roman" w:hAnsi="Times New Roman" w:cs="Times New Roman"/>
        </w:rPr>
      </w:pPr>
    </w:p>
    <w:bookmarkEnd w:id="4"/>
    <w:p>
      <w:pPr>
        <w:pStyle w:val="2"/>
        <w:jc w:val="center"/>
        <w:rPr>
          <w:rFonts w:ascii="Times New Roman" w:hAnsi="Times New Roman" w:cs="Times New Roman"/>
        </w:rPr>
      </w:pPr>
      <w:bookmarkStart w:id="12" w:name="_Toc8097"/>
      <w:r>
        <w:rPr>
          <w:rFonts w:ascii="Times New Roman" w:hAnsi="Times New Roman" w:cs="Times New Roman"/>
        </w:rPr>
        <w:t>进修类别</w:t>
      </w:r>
      <w:bookmarkEnd w:id="12"/>
    </w:p>
    <w:p>
      <w:pPr>
        <w:numPr>
          <w:ilvl w:val="0"/>
          <w:numId w:val="1"/>
        </w:numPr>
        <w:jc w:val="left"/>
        <w:outlineLvl w:val="0"/>
        <w:rPr>
          <w:rFonts w:ascii="Times New Roman" w:hAnsi="Times New Roman" w:cs="Times New Roman"/>
          <w:bCs/>
          <w:kern w:val="44"/>
          <w:sz w:val="28"/>
          <w:szCs w:val="18"/>
        </w:rPr>
      </w:pPr>
      <w:bookmarkStart w:id="13" w:name="_Toc8930"/>
      <w:r>
        <w:rPr>
          <w:rFonts w:ascii="Times New Roman" w:hAnsi="Times New Roman" w:cs="Times New Roman"/>
          <w:bCs/>
          <w:kern w:val="44"/>
          <w:sz w:val="28"/>
          <w:szCs w:val="18"/>
        </w:rPr>
        <w:t>病理诊断方向</w:t>
      </w:r>
      <w:bookmarkEnd w:id="13"/>
    </w:p>
    <w:p>
      <w:pPr>
        <w:numPr>
          <w:ilvl w:val="0"/>
          <w:numId w:val="2"/>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普通进修</w:t>
      </w:r>
    </w:p>
    <w:p>
      <w:pPr>
        <w:ind w:left="420"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包括常规组织病理及细胞病理。</w:t>
      </w:r>
    </w:p>
    <w:p>
      <w:pPr>
        <w:numPr>
          <w:ilvl w:val="0"/>
          <w:numId w:val="2"/>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亚专业进修</w:t>
      </w:r>
    </w:p>
    <w:p>
      <w:pPr>
        <w:ind w:left="420" w:leftChars="200"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进修生根据需求可以选择不同亚专科进修，包括淋巴瘤亚专科、消化亚专科、胸部亚专科，妇科亚专科，乳腺亚专科，细胞亚专科。</w:t>
      </w:r>
    </w:p>
    <w:p>
      <w:pPr>
        <w:numPr>
          <w:ilvl w:val="0"/>
          <w:numId w:val="1"/>
        </w:numPr>
        <w:jc w:val="left"/>
        <w:outlineLvl w:val="0"/>
        <w:rPr>
          <w:rFonts w:ascii="Times New Roman" w:hAnsi="Times New Roman" w:cs="Times New Roman"/>
          <w:bCs/>
          <w:kern w:val="44"/>
          <w:sz w:val="28"/>
          <w:szCs w:val="18"/>
        </w:rPr>
      </w:pPr>
      <w:bookmarkStart w:id="14" w:name="_Toc7205"/>
      <w:r>
        <w:rPr>
          <w:rFonts w:ascii="Times New Roman" w:hAnsi="Times New Roman" w:cs="Times New Roman"/>
          <w:bCs/>
          <w:kern w:val="44"/>
          <w:sz w:val="28"/>
          <w:szCs w:val="18"/>
        </w:rPr>
        <w:t>病理技术</w:t>
      </w:r>
      <w:bookmarkEnd w:id="14"/>
    </w:p>
    <w:p>
      <w:pPr>
        <w:ind w:left="420" w:leftChars="200"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病理技术进修主要内容包括常规病理技术、术中快速病理技术、细胞学制片技术、特殊染色技术、免疫组织化学技术、原位杂交技术。</w:t>
      </w:r>
    </w:p>
    <w:p>
      <w:pPr>
        <w:numPr>
          <w:ilvl w:val="0"/>
          <w:numId w:val="1"/>
        </w:numPr>
        <w:jc w:val="left"/>
        <w:outlineLvl w:val="0"/>
        <w:rPr>
          <w:rFonts w:ascii="Times New Roman" w:hAnsi="Times New Roman" w:cs="Times New Roman"/>
          <w:bCs/>
          <w:kern w:val="44"/>
          <w:sz w:val="28"/>
          <w:szCs w:val="18"/>
        </w:rPr>
      </w:pPr>
      <w:bookmarkStart w:id="15" w:name="_Toc9528"/>
      <w:r>
        <w:rPr>
          <w:rFonts w:ascii="Times New Roman" w:hAnsi="Times New Roman" w:cs="Times New Roman"/>
          <w:bCs/>
          <w:kern w:val="44"/>
          <w:sz w:val="28"/>
          <w:szCs w:val="18"/>
        </w:rPr>
        <w:t>分子病理</w:t>
      </w:r>
      <w:bookmarkEnd w:id="15"/>
    </w:p>
    <w:p>
      <w:pPr>
        <w:ind w:left="420" w:leftChars="200"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分子病理平台实践操作技术，包括流式细胞技术、PCR技术、一代测序及二代测序技术等，同时还要掌握相关结果判读及临床意义。</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jc w:val="center"/>
        <w:rPr>
          <w:rFonts w:ascii="Times New Roman" w:hAnsi="Times New Roman" w:cs="Times New Roman"/>
        </w:rPr>
      </w:pPr>
      <w:bookmarkStart w:id="16" w:name="_Toc29084"/>
      <w:r>
        <w:rPr>
          <w:rFonts w:ascii="Times New Roman" w:hAnsi="Times New Roman" w:cs="Times New Roman"/>
        </w:rPr>
        <w:t>招收条件</w:t>
      </w:r>
      <w:bookmarkEnd w:id="16"/>
    </w:p>
    <w:p>
      <w:pPr>
        <w:numPr>
          <w:ilvl w:val="0"/>
          <w:numId w:val="3"/>
        </w:numPr>
        <w:jc w:val="left"/>
        <w:rPr>
          <w:rFonts w:ascii="Times New Roman" w:hAnsi="Times New Roman" w:cs="Times New Roman"/>
          <w:bCs/>
          <w:kern w:val="44"/>
          <w:sz w:val="28"/>
          <w:szCs w:val="18"/>
        </w:rPr>
      </w:pPr>
      <w:r>
        <w:rPr>
          <w:rFonts w:ascii="Times New Roman" w:hAnsi="Times New Roman" w:cs="Times New Roman"/>
          <w:bCs/>
          <w:kern w:val="44"/>
          <w:sz w:val="28"/>
          <w:szCs w:val="18"/>
        </w:rPr>
        <w:t>招收时间</w:t>
      </w:r>
    </w:p>
    <w:p>
      <w:pPr>
        <w:spacing w:line="360" w:lineRule="auto"/>
        <w:ind w:firstLine="560" w:firstLineChars="200"/>
        <w:rPr>
          <w:rFonts w:ascii="宋体"/>
          <w:sz w:val="28"/>
          <w:szCs w:val="28"/>
        </w:rPr>
      </w:pPr>
      <w:r>
        <w:rPr>
          <w:rFonts w:hint="eastAsia" w:ascii="宋体" w:hAnsi="宋体"/>
          <w:sz w:val="28"/>
          <w:szCs w:val="28"/>
        </w:rPr>
        <w:t>每年1月-</w:t>
      </w:r>
      <w:r>
        <w:rPr>
          <w:rFonts w:ascii="宋体" w:hAnsi="宋体"/>
          <w:sz w:val="28"/>
          <w:szCs w:val="28"/>
        </w:rPr>
        <w:t>12</w:t>
      </w:r>
      <w:r>
        <w:rPr>
          <w:rFonts w:hint="eastAsia" w:ascii="宋体" w:hAnsi="宋体"/>
          <w:sz w:val="28"/>
          <w:szCs w:val="28"/>
        </w:rPr>
        <w:t>月</w:t>
      </w:r>
    </w:p>
    <w:p>
      <w:pPr>
        <w:numPr>
          <w:ilvl w:val="0"/>
          <w:numId w:val="3"/>
        </w:numPr>
        <w:jc w:val="left"/>
        <w:rPr>
          <w:rFonts w:ascii="Times New Roman" w:hAnsi="Times New Roman" w:cs="Times New Roman"/>
          <w:bCs/>
          <w:kern w:val="44"/>
          <w:sz w:val="28"/>
          <w:szCs w:val="18"/>
        </w:rPr>
      </w:pPr>
      <w:bookmarkStart w:id="50" w:name="_GoBack"/>
      <w:bookmarkEnd w:id="50"/>
      <w:r>
        <w:rPr>
          <w:rFonts w:ascii="Times New Roman" w:hAnsi="Times New Roman" w:cs="Times New Roman"/>
          <w:bCs/>
          <w:kern w:val="44"/>
          <w:sz w:val="28"/>
          <w:szCs w:val="18"/>
        </w:rPr>
        <w:t>进修周期</w:t>
      </w:r>
    </w:p>
    <w:p>
      <w:pPr>
        <w:ind w:left="420"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进修时间分为6—12个月。</w:t>
      </w:r>
    </w:p>
    <w:p>
      <w:pPr>
        <w:numPr>
          <w:ilvl w:val="0"/>
          <w:numId w:val="3"/>
        </w:numPr>
        <w:jc w:val="left"/>
        <w:rPr>
          <w:rFonts w:ascii="Times New Roman" w:hAnsi="Times New Roman" w:cs="Times New Roman"/>
          <w:bCs/>
          <w:kern w:val="44"/>
          <w:sz w:val="28"/>
          <w:szCs w:val="18"/>
        </w:rPr>
      </w:pPr>
      <w:r>
        <w:rPr>
          <w:rFonts w:ascii="Times New Roman" w:hAnsi="Times New Roman" w:cs="Times New Roman"/>
          <w:bCs/>
          <w:kern w:val="44"/>
          <w:sz w:val="28"/>
          <w:szCs w:val="18"/>
        </w:rPr>
        <w:t>招收条件（学历、年龄等）</w:t>
      </w:r>
    </w:p>
    <w:p>
      <w:pPr>
        <w:numPr>
          <w:ilvl w:val="0"/>
          <w:numId w:val="4"/>
        </w:numPr>
        <w:jc w:val="left"/>
        <w:rPr>
          <w:rFonts w:ascii="Times New Roman" w:hAnsi="Times New Roman" w:cs="Times New Roman"/>
          <w:bCs/>
          <w:kern w:val="44"/>
          <w:sz w:val="28"/>
          <w:szCs w:val="18"/>
        </w:rPr>
      </w:pPr>
      <w:r>
        <w:rPr>
          <w:rFonts w:ascii="Times New Roman" w:hAnsi="Times New Roman" w:cs="Times New Roman"/>
          <w:bCs/>
          <w:kern w:val="44"/>
          <w:sz w:val="28"/>
          <w:szCs w:val="18"/>
        </w:rPr>
        <w:t>病理、检验、临床专业的相关医务人员。无色盲、色弱等影响视觉判断的疾病。</w:t>
      </w:r>
    </w:p>
    <w:p>
      <w:pPr>
        <w:numPr>
          <w:ilvl w:val="0"/>
          <w:numId w:val="4"/>
        </w:numPr>
        <w:jc w:val="left"/>
        <w:rPr>
          <w:rFonts w:ascii="Times New Roman" w:hAnsi="Times New Roman" w:cs="Times New Roman"/>
          <w:bCs/>
          <w:kern w:val="44"/>
          <w:sz w:val="28"/>
          <w:szCs w:val="18"/>
        </w:rPr>
      </w:pPr>
      <w:r>
        <w:rPr>
          <w:rFonts w:ascii="Times New Roman" w:hAnsi="Times New Roman" w:cs="Times New Roman"/>
          <w:bCs/>
          <w:kern w:val="44"/>
          <w:sz w:val="28"/>
          <w:szCs w:val="18"/>
        </w:rPr>
        <w:t>病理医师须本科及以上学历，持有医师资格证书和执业医师证书，从事本专业工作一年以上。病理诊断亚专业进修人员须中级及以上资历。</w:t>
      </w:r>
    </w:p>
    <w:p>
      <w:pPr>
        <w:numPr>
          <w:ilvl w:val="0"/>
          <w:numId w:val="4"/>
        </w:numPr>
        <w:jc w:val="left"/>
        <w:rPr>
          <w:rFonts w:ascii="Times New Roman" w:hAnsi="Times New Roman" w:cs="Times New Roman"/>
          <w:bCs/>
          <w:kern w:val="44"/>
          <w:sz w:val="28"/>
          <w:szCs w:val="18"/>
        </w:rPr>
      </w:pPr>
      <w:r>
        <w:rPr>
          <w:rFonts w:ascii="Times New Roman" w:hAnsi="Times New Roman" w:cs="Times New Roman"/>
          <w:bCs/>
          <w:kern w:val="44"/>
          <w:sz w:val="28"/>
          <w:szCs w:val="18"/>
        </w:rPr>
        <w:t>病理技师及分子病理可招收专科及以上学历，同时有从事相关工作经验的。</w:t>
      </w:r>
    </w:p>
    <w:p>
      <w:pPr>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ind w:firstLine="560" w:firstLineChars="200"/>
        <w:jc w:val="left"/>
        <w:rPr>
          <w:rFonts w:ascii="Times New Roman" w:hAnsi="Times New Roman" w:cs="Times New Roman"/>
          <w:bCs/>
          <w:kern w:val="44"/>
          <w:sz w:val="28"/>
          <w:szCs w:val="18"/>
        </w:rPr>
      </w:pPr>
    </w:p>
    <w:p>
      <w:pPr>
        <w:jc w:val="left"/>
        <w:rPr>
          <w:rFonts w:ascii="Times New Roman" w:hAnsi="Times New Roman" w:cs="Times New Roman"/>
          <w:bCs/>
          <w:kern w:val="44"/>
          <w:sz w:val="28"/>
          <w:szCs w:val="18"/>
        </w:rPr>
      </w:pPr>
    </w:p>
    <w:p>
      <w:pPr>
        <w:pStyle w:val="2"/>
        <w:jc w:val="center"/>
        <w:rPr>
          <w:rFonts w:ascii="Times New Roman" w:hAnsi="Times New Roman" w:cs="Times New Roman"/>
        </w:rPr>
      </w:pPr>
      <w:bookmarkStart w:id="17" w:name="_Toc1110"/>
      <w:bookmarkStart w:id="18" w:name="_Toc17161"/>
      <w:r>
        <w:rPr>
          <w:rFonts w:ascii="Times New Roman" w:hAnsi="Times New Roman" w:cs="Times New Roman"/>
        </w:rPr>
        <w:t>进修生培养方案</w:t>
      </w:r>
      <w:bookmarkEnd w:id="17"/>
      <w:bookmarkEnd w:id="18"/>
    </w:p>
    <w:p>
      <w:pPr>
        <w:numPr>
          <w:ilvl w:val="0"/>
          <w:numId w:val="5"/>
        </w:numPr>
        <w:jc w:val="left"/>
        <w:outlineLvl w:val="0"/>
        <w:rPr>
          <w:rFonts w:ascii="Times New Roman" w:hAnsi="Times New Roman" w:cs="Times New Roman"/>
          <w:b/>
          <w:kern w:val="44"/>
          <w:sz w:val="28"/>
          <w:szCs w:val="18"/>
        </w:rPr>
      </w:pPr>
      <w:bookmarkStart w:id="19" w:name="_Toc28642"/>
      <w:bookmarkStart w:id="20" w:name="_Toc8869"/>
      <w:r>
        <w:rPr>
          <w:rFonts w:ascii="Times New Roman" w:hAnsi="Times New Roman" w:cs="Times New Roman"/>
          <w:b/>
          <w:kern w:val="44"/>
          <w:sz w:val="28"/>
          <w:szCs w:val="18"/>
        </w:rPr>
        <w:t>培养目标</w:t>
      </w:r>
      <w:bookmarkEnd w:id="19"/>
      <w:bookmarkEnd w:id="20"/>
    </w:p>
    <w:p>
      <w:p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通过系统的学习和实践，使进修生掌握病理诊断、病理技术及分子病理基本理论知识和技术操作技能，具备独立从事病理工作的能力，不断提升专业水准，紧跟前沿脚步，更好地为临床与患者服务。</w:t>
      </w:r>
    </w:p>
    <w:p>
      <w:pPr>
        <w:numPr>
          <w:ilvl w:val="0"/>
          <w:numId w:val="5"/>
        </w:numPr>
        <w:jc w:val="left"/>
        <w:outlineLvl w:val="0"/>
        <w:rPr>
          <w:rFonts w:ascii="Times New Roman" w:hAnsi="Times New Roman" w:cs="Times New Roman"/>
          <w:b/>
          <w:kern w:val="44"/>
          <w:sz w:val="28"/>
          <w:szCs w:val="18"/>
        </w:rPr>
      </w:pPr>
      <w:bookmarkStart w:id="21" w:name="_Toc24858"/>
      <w:bookmarkStart w:id="22" w:name="_Toc1287"/>
      <w:r>
        <w:rPr>
          <w:rFonts w:ascii="Times New Roman" w:hAnsi="Times New Roman" w:cs="Times New Roman"/>
          <w:b/>
          <w:kern w:val="44"/>
          <w:sz w:val="28"/>
          <w:szCs w:val="18"/>
        </w:rPr>
        <w:t>培养方案</w:t>
      </w:r>
      <w:bookmarkEnd w:id="21"/>
      <w:bookmarkEnd w:id="22"/>
    </w:p>
    <w:p>
      <w:pPr>
        <w:numPr>
          <w:ilvl w:val="0"/>
          <w:numId w:val="6"/>
        </w:numPr>
        <w:ind w:left="-560" w:firstLine="560"/>
        <w:jc w:val="left"/>
        <w:rPr>
          <w:rFonts w:ascii="Times New Roman" w:hAnsi="Times New Roman" w:cs="Times New Roman"/>
          <w:b/>
          <w:kern w:val="44"/>
          <w:sz w:val="28"/>
          <w:szCs w:val="18"/>
        </w:rPr>
      </w:pPr>
      <w:r>
        <w:rPr>
          <w:rFonts w:ascii="Times New Roman" w:hAnsi="Times New Roman" w:cs="Times New Roman"/>
          <w:b/>
          <w:kern w:val="44"/>
          <w:sz w:val="28"/>
          <w:szCs w:val="18"/>
        </w:rPr>
        <w:t>病理诊断方向</w:t>
      </w:r>
    </w:p>
    <w:p>
      <w:pPr>
        <w:numPr>
          <w:ilvl w:val="0"/>
          <w:numId w:val="7"/>
        </w:numPr>
        <w:jc w:val="left"/>
        <w:outlineLvl w:val="0"/>
        <w:rPr>
          <w:rFonts w:ascii="Times New Roman" w:hAnsi="Times New Roman" w:cs="Times New Roman"/>
          <w:b/>
          <w:kern w:val="44"/>
          <w:sz w:val="28"/>
          <w:szCs w:val="18"/>
        </w:rPr>
      </w:pPr>
      <w:bookmarkStart w:id="23" w:name="_Toc26053"/>
      <w:r>
        <w:rPr>
          <w:rFonts w:ascii="Times New Roman" w:hAnsi="Times New Roman" w:cs="Times New Roman"/>
          <w:b/>
          <w:kern w:val="44"/>
          <w:sz w:val="28"/>
          <w:szCs w:val="18"/>
        </w:rPr>
        <w:t>教学形式</w:t>
      </w:r>
      <w:bookmarkEnd w:id="23"/>
    </w:p>
    <w:p>
      <w:pPr>
        <w:numPr>
          <w:ilvl w:val="0"/>
          <w:numId w:val="8"/>
        </w:numPr>
        <w:jc w:val="left"/>
        <w:outlineLvl w:val="1"/>
        <w:rPr>
          <w:rFonts w:ascii="Times New Roman" w:hAnsi="Times New Roman" w:cs="Times New Roman"/>
          <w:bCs/>
          <w:kern w:val="44"/>
          <w:sz w:val="28"/>
          <w:szCs w:val="18"/>
        </w:rPr>
      </w:pPr>
      <w:bookmarkStart w:id="24" w:name="_Toc14123"/>
      <w:r>
        <w:rPr>
          <w:rFonts w:ascii="Times New Roman" w:hAnsi="Times New Roman" w:cs="Times New Roman"/>
          <w:bCs/>
          <w:kern w:val="44"/>
          <w:sz w:val="28"/>
          <w:szCs w:val="18"/>
        </w:rPr>
        <w:t>普通进修及亚专业进修均采用</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一对一</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带教负责制，每位进修生指定一位高年资医师进行病理诊断指导。</w:t>
      </w:r>
      <w:bookmarkEnd w:id="24"/>
      <w:r>
        <w:rPr>
          <w:rFonts w:ascii="Times New Roman" w:hAnsi="Times New Roman" w:cs="Times New Roman"/>
          <w:bCs/>
          <w:kern w:val="44"/>
          <w:sz w:val="28"/>
          <w:szCs w:val="18"/>
        </w:rPr>
        <w:t xml:space="preserve"> 带教老师根据进修人员基础情况，因材施教，制定合适的培训计划。</w:t>
      </w:r>
    </w:p>
    <w:p>
      <w:pPr>
        <w:numPr>
          <w:ilvl w:val="0"/>
          <w:numId w:val="8"/>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完成前3个月常规病理诊断培训后可以参与术中冰冻病理诊断的 学习。</w:t>
      </w:r>
    </w:p>
    <w:p>
      <w:pPr>
        <w:numPr>
          <w:ilvl w:val="0"/>
          <w:numId w:val="8"/>
        </w:numPr>
        <w:jc w:val="left"/>
        <w:rPr>
          <w:rFonts w:ascii="Times New Roman" w:hAnsi="Times New Roman" w:cs="Times New Roman"/>
          <w:bCs/>
          <w:kern w:val="44"/>
          <w:sz w:val="28"/>
          <w:szCs w:val="18"/>
        </w:rPr>
      </w:pPr>
      <w:r>
        <w:rPr>
          <w:rFonts w:ascii="Times New Roman" w:hAnsi="Times New Roman" w:cs="Times New Roman"/>
          <w:bCs/>
          <w:kern w:val="44"/>
          <w:sz w:val="28"/>
          <w:szCs w:val="18"/>
        </w:rPr>
        <w:t>定期安排小讲课、专题讲座，每周定期举行病例分析及多头带教等教学活动。</w:t>
      </w:r>
    </w:p>
    <w:p>
      <w:pPr>
        <w:numPr>
          <w:ilvl w:val="0"/>
          <w:numId w:val="8"/>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 xml:space="preserve"> </w:t>
      </w:r>
      <w:bookmarkStart w:id="25" w:name="_Toc8502"/>
      <w:r>
        <w:rPr>
          <w:rFonts w:ascii="Times New Roman" w:hAnsi="Times New Roman" w:cs="Times New Roman"/>
          <w:bCs/>
          <w:kern w:val="44"/>
          <w:sz w:val="28"/>
          <w:szCs w:val="18"/>
        </w:rPr>
        <w:t>完成日常考核及结业考核。</w:t>
      </w:r>
      <w:bookmarkEnd w:id="25"/>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日常考核：对进修生的日常工作能力（诊断报告书写及标本取材）、参与各类教学活动等进行评估。</w:t>
      </w:r>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结业考核：包括理论考试、技能操作考试（标本取材、病理诊断）。</w:t>
      </w:r>
    </w:p>
    <w:p>
      <w:pPr>
        <w:numPr>
          <w:ilvl w:val="0"/>
          <w:numId w:val="8"/>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 xml:space="preserve"> </w:t>
      </w:r>
      <w:bookmarkStart w:id="26" w:name="_Toc24791"/>
      <w:r>
        <w:rPr>
          <w:rFonts w:ascii="Times New Roman" w:hAnsi="Times New Roman" w:cs="Times New Roman"/>
          <w:bCs/>
          <w:kern w:val="44"/>
          <w:sz w:val="28"/>
          <w:szCs w:val="18"/>
        </w:rPr>
        <w:t>亚专科进修生按要求参加亚专业组内活动。</w:t>
      </w:r>
      <w:bookmarkEnd w:id="26"/>
    </w:p>
    <w:p>
      <w:pPr>
        <w:numPr>
          <w:ilvl w:val="0"/>
          <w:numId w:val="7"/>
        </w:numPr>
        <w:jc w:val="left"/>
        <w:outlineLvl w:val="0"/>
        <w:rPr>
          <w:rFonts w:ascii="Times New Roman" w:hAnsi="Times New Roman" w:cs="Times New Roman"/>
          <w:b/>
          <w:kern w:val="44"/>
          <w:sz w:val="28"/>
          <w:szCs w:val="18"/>
        </w:rPr>
      </w:pPr>
      <w:bookmarkStart w:id="27" w:name="_Toc682"/>
      <w:r>
        <w:rPr>
          <w:rFonts w:ascii="Times New Roman" w:hAnsi="Times New Roman" w:cs="Times New Roman"/>
          <w:b/>
          <w:kern w:val="44"/>
          <w:sz w:val="28"/>
          <w:szCs w:val="18"/>
        </w:rPr>
        <w:t>教学内容</w:t>
      </w:r>
      <w:bookmarkEnd w:id="27"/>
    </w:p>
    <w:tbl>
      <w:tblPr>
        <w:tblStyle w:val="9"/>
        <w:tblW w:w="972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4091"/>
        <w:gridCol w:w="818"/>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进修内容</w:t>
            </w:r>
          </w:p>
        </w:tc>
        <w:tc>
          <w:tcPr>
            <w:tcW w:w="409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要求</w:t>
            </w:r>
          </w:p>
        </w:tc>
        <w:tc>
          <w:tcPr>
            <w:tcW w:w="81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培训时间</w:t>
            </w:r>
          </w:p>
        </w:tc>
        <w:tc>
          <w:tcPr>
            <w:tcW w:w="3582"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标本取材</w:t>
            </w:r>
          </w:p>
        </w:tc>
        <w:tc>
          <w:tcPr>
            <w:tcW w:w="409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普通进修生取材纳入规培生一同管理；</w:t>
            </w:r>
          </w:p>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亚专科进修生每周1次取材。</w:t>
            </w:r>
          </w:p>
        </w:tc>
        <w:tc>
          <w:tcPr>
            <w:tcW w:w="81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全程</w:t>
            </w:r>
          </w:p>
        </w:tc>
        <w:tc>
          <w:tcPr>
            <w:tcW w:w="3582"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规范化取材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病理诊断</w:t>
            </w:r>
          </w:p>
        </w:tc>
        <w:tc>
          <w:tcPr>
            <w:tcW w:w="409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完成常规病理初诊，并跟随带教老师复片；</w:t>
            </w:r>
          </w:p>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亚专科进修生需完成会诊</w:t>
            </w:r>
            <w:r>
              <w:rPr>
                <w:rFonts w:hint="eastAsia" w:ascii="Times New Roman" w:hAnsi="Times New Roman" w:cs="Times New Roman"/>
                <w:bCs/>
                <w:kern w:val="44"/>
                <w:sz w:val="24"/>
                <w:szCs w:val="16"/>
              </w:rPr>
              <w:t>及医联体初诊、</w:t>
            </w:r>
            <w:r>
              <w:rPr>
                <w:rFonts w:ascii="Times New Roman" w:hAnsi="Times New Roman" w:cs="Times New Roman"/>
                <w:bCs/>
                <w:kern w:val="44"/>
                <w:sz w:val="24"/>
                <w:szCs w:val="16"/>
              </w:rPr>
              <w:t>参与疑难病例诊断</w:t>
            </w:r>
            <w:r>
              <w:rPr>
                <w:rFonts w:hint="eastAsia" w:ascii="Times New Roman" w:hAnsi="Times New Roman" w:cs="Times New Roman"/>
                <w:bCs/>
                <w:kern w:val="44"/>
                <w:sz w:val="24"/>
                <w:szCs w:val="16"/>
              </w:rPr>
              <w:t>。</w:t>
            </w:r>
          </w:p>
        </w:tc>
        <w:tc>
          <w:tcPr>
            <w:tcW w:w="81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全程</w:t>
            </w:r>
          </w:p>
        </w:tc>
        <w:tc>
          <w:tcPr>
            <w:tcW w:w="3582" w:type="dxa"/>
            <w:vAlign w:val="center"/>
          </w:tcPr>
          <w:p>
            <w:pPr>
              <w:jc w:val="left"/>
              <w:rPr>
                <w:rFonts w:ascii="Times New Roman" w:hAnsi="Times New Roman" w:cs="Times New Roman"/>
                <w:bCs/>
                <w:kern w:val="44"/>
                <w:sz w:val="24"/>
                <w:szCs w:val="16"/>
              </w:rPr>
            </w:pPr>
            <w:r>
              <w:rPr>
                <w:rFonts w:ascii="Times New Roman" w:hAnsi="Times New Roman" w:cs="Times New Roman"/>
                <w:bCs/>
                <w:kern w:val="44"/>
                <w:sz w:val="24"/>
                <w:szCs w:val="16"/>
              </w:rPr>
              <w:t>规范化诊断报告书写、格式化报告书写规范、临床病理诊断标准</w:t>
            </w:r>
            <w:r>
              <w:rPr>
                <w:rFonts w:hint="eastAsia" w:ascii="Times New Roman" w:hAnsi="Times New Roman" w:cs="Times New Roman"/>
                <w:bCs/>
                <w:kern w:val="44"/>
                <w:sz w:val="24"/>
                <w:szCs w:val="16"/>
              </w:rPr>
              <w:t>；</w:t>
            </w:r>
          </w:p>
          <w:p>
            <w:pPr>
              <w:jc w:val="left"/>
              <w:rPr>
                <w:rFonts w:ascii="Times New Roman" w:hAnsi="Times New Roman" w:cs="Times New Roman"/>
                <w:bCs/>
                <w:kern w:val="44"/>
                <w:sz w:val="24"/>
                <w:szCs w:val="16"/>
              </w:rPr>
            </w:pPr>
            <w:r>
              <w:rPr>
                <w:rFonts w:ascii="Times New Roman" w:hAnsi="Times New Roman" w:cs="Times New Roman"/>
                <w:bCs/>
                <w:kern w:val="44"/>
                <w:sz w:val="24"/>
                <w:szCs w:val="16"/>
              </w:rPr>
              <w:t>掌握常见病、多发病的病理诊断标准和诊断思维</w:t>
            </w:r>
            <w:r>
              <w:rPr>
                <w:rFonts w:hint="eastAsia" w:ascii="Times New Roman" w:hAnsi="Times New Roman" w:cs="Times New Roman"/>
                <w:bCs/>
                <w:kern w:val="44"/>
                <w:sz w:val="24"/>
                <w:szCs w:val="16"/>
              </w:rPr>
              <w:t>；</w:t>
            </w:r>
          </w:p>
          <w:p>
            <w:pPr>
              <w:jc w:val="left"/>
              <w:rPr>
                <w:rFonts w:ascii="Times New Roman" w:hAnsi="Times New Roman" w:cs="Times New Roman"/>
                <w:bCs/>
                <w:kern w:val="44"/>
                <w:sz w:val="24"/>
                <w:szCs w:val="16"/>
              </w:rPr>
            </w:pPr>
            <w:r>
              <w:rPr>
                <w:rFonts w:ascii="Times New Roman" w:hAnsi="Times New Roman" w:cs="Times New Roman"/>
                <w:bCs/>
                <w:kern w:val="44"/>
                <w:sz w:val="24"/>
                <w:szCs w:val="16"/>
              </w:rPr>
              <w:t>能够基本承担临床病理常见多发病的诊断，具有解决疑难病理诊断的能力。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其他</w:t>
            </w:r>
          </w:p>
        </w:tc>
        <w:tc>
          <w:tcPr>
            <w:tcW w:w="4091"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参加科室其他带教、讲座等活动，参加亚专科组内活动</w:t>
            </w:r>
          </w:p>
        </w:tc>
        <w:tc>
          <w:tcPr>
            <w:tcW w:w="81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全程</w:t>
            </w:r>
          </w:p>
        </w:tc>
        <w:tc>
          <w:tcPr>
            <w:tcW w:w="3582"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w:t>
            </w:r>
          </w:p>
        </w:tc>
      </w:tr>
    </w:tbl>
    <w:p>
      <w:pPr>
        <w:jc w:val="left"/>
        <w:rPr>
          <w:rFonts w:ascii="Times New Roman" w:hAnsi="Times New Roman" w:cs="Times New Roman"/>
          <w:b/>
          <w:kern w:val="44"/>
          <w:sz w:val="28"/>
          <w:szCs w:val="18"/>
        </w:rPr>
      </w:pPr>
    </w:p>
    <w:p>
      <w:pPr>
        <w:numPr>
          <w:ilvl w:val="0"/>
          <w:numId w:val="6"/>
        </w:numPr>
        <w:ind w:left="-560" w:firstLine="560"/>
        <w:jc w:val="left"/>
        <w:rPr>
          <w:rFonts w:ascii="Times New Roman" w:hAnsi="Times New Roman" w:cs="Times New Roman"/>
          <w:b/>
          <w:kern w:val="44"/>
          <w:sz w:val="28"/>
          <w:szCs w:val="18"/>
        </w:rPr>
      </w:pPr>
      <w:r>
        <w:rPr>
          <w:rFonts w:ascii="Times New Roman" w:hAnsi="Times New Roman" w:cs="Times New Roman"/>
          <w:b/>
          <w:kern w:val="44"/>
          <w:sz w:val="28"/>
          <w:szCs w:val="18"/>
        </w:rPr>
        <w:t>病理技术</w:t>
      </w:r>
    </w:p>
    <w:p>
      <w:pPr>
        <w:numPr>
          <w:ilvl w:val="0"/>
          <w:numId w:val="10"/>
        </w:numPr>
        <w:jc w:val="left"/>
        <w:outlineLvl w:val="0"/>
        <w:rPr>
          <w:rFonts w:ascii="Times New Roman" w:hAnsi="Times New Roman" w:cs="Times New Roman"/>
          <w:b/>
          <w:kern w:val="44"/>
          <w:sz w:val="28"/>
          <w:szCs w:val="18"/>
        </w:rPr>
      </w:pPr>
      <w:bookmarkStart w:id="28" w:name="_Toc16545"/>
      <w:r>
        <w:rPr>
          <w:rFonts w:ascii="Times New Roman" w:hAnsi="Times New Roman" w:cs="Times New Roman"/>
          <w:b/>
          <w:kern w:val="44"/>
          <w:sz w:val="28"/>
          <w:szCs w:val="18"/>
        </w:rPr>
        <w:t>教学形式</w:t>
      </w:r>
      <w:bookmarkEnd w:id="28"/>
    </w:p>
    <w:p>
      <w:pPr>
        <w:numPr>
          <w:ilvl w:val="0"/>
          <w:numId w:val="11"/>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采用</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一对一</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带教负责制，每位进修生指定一位高年资技师全程指导。带教老师根据进修人员基础情况，因材施教，制定合适的培训计划。</w:t>
      </w:r>
    </w:p>
    <w:p>
      <w:pPr>
        <w:numPr>
          <w:ilvl w:val="0"/>
          <w:numId w:val="11"/>
        </w:numPr>
        <w:jc w:val="left"/>
        <w:rPr>
          <w:rFonts w:ascii="Times New Roman" w:hAnsi="Times New Roman" w:cs="Times New Roman"/>
          <w:bCs/>
          <w:kern w:val="44"/>
          <w:sz w:val="28"/>
          <w:szCs w:val="18"/>
        </w:rPr>
      </w:pPr>
      <w:r>
        <w:rPr>
          <w:rFonts w:ascii="Times New Roman" w:hAnsi="Times New Roman" w:cs="Times New Roman"/>
          <w:bCs/>
          <w:kern w:val="44"/>
          <w:sz w:val="28"/>
          <w:szCs w:val="18"/>
        </w:rPr>
        <w:t>实行轮岗制，分为常规制片、术中快速冰冻制片、免疫组化、特殊染色等，轮转不同岗位时指派不同带教老师带教。</w:t>
      </w:r>
    </w:p>
    <w:p>
      <w:pPr>
        <w:numPr>
          <w:ilvl w:val="0"/>
          <w:numId w:val="11"/>
        </w:numPr>
        <w:jc w:val="left"/>
        <w:rPr>
          <w:rFonts w:ascii="Times New Roman" w:hAnsi="Times New Roman" w:cs="Times New Roman"/>
          <w:bCs/>
          <w:kern w:val="44"/>
          <w:sz w:val="28"/>
          <w:szCs w:val="18"/>
        </w:rPr>
      </w:pPr>
      <w:r>
        <w:rPr>
          <w:rFonts w:ascii="Times New Roman" w:hAnsi="Times New Roman" w:cs="Times New Roman"/>
          <w:bCs/>
          <w:kern w:val="44"/>
          <w:sz w:val="28"/>
          <w:szCs w:val="18"/>
        </w:rPr>
        <w:t>定期安排小讲课、专题讲座等教学活动。</w:t>
      </w:r>
    </w:p>
    <w:p>
      <w:pPr>
        <w:numPr>
          <w:ilvl w:val="0"/>
          <w:numId w:val="11"/>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 xml:space="preserve"> 完成日常考核及结业考核。</w:t>
      </w:r>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日常考核：对进修生的实践操作能力、参与各类教学活动等进行评估。</w:t>
      </w:r>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结业考核：包括理论考试、技能操作考试。</w:t>
      </w:r>
    </w:p>
    <w:p>
      <w:pPr>
        <w:ind w:left="420" w:leftChars="200"/>
        <w:jc w:val="left"/>
        <w:rPr>
          <w:rFonts w:ascii="Times New Roman" w:hAnsi="Times New Roman" w:cs="Times New Roman"/>
          <w:bCs/>
          <w:kern w:val="44"/>
          <w:sz w:val="28"/>
          <w:szCs w:val="18"/>
        </w:rPr>
      </w:pPr>
    </w:p>
    <w:p>
      <w:pPr>
        <w:numPr>
          <w:ilvl w:val="0"/>
          <w:numId w:val="10"/>
        </w:numPr>
        <w:jc w:val="left"/>
        <w:outlineLvl w:val="0"/>
        <w:rPr>
          <w:rFonts w:ascii="Times New Roman" w:hAnsi="Times New Roman" w:cs="Times New Roman"/>
          <w:b/>
          <w:kern w:val="44"/>
          <w:sz w:val="28"/>
          <w:szCs w:val="18"/>
        </w:rPr>
      </w:pPr>
      <w:bookmarkStart w:id="29" w:name="_Toc7415"/>
      <w:r>
        <w:rPr>
          <w:rFonts w:ascii="Times New Roman" w:hAnsi="Times New Roman" w:cs="Times New Roman"/>
          <w:b/>
          <w:kern w:val="44"/>
          <w:sz w:val="28"/>
          <w:szCs w:val="18"/>
        </w:rPr>
        <w:t>教学内容</w:t>
      </w:r>
      <w:bookmarkEnd w:id="29"/>
    </w:p>
    <w:tbl>
      <w:tblPr>
        <w:tblStyle w:val="9"/>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369"/>
        <w:gridCol w:w="1346"/>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进修内容</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要求</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培训时间</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常规病理制片技术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 xml:space="preserve">1月 </w:t>
            </w:r>
          </w:p>
        </w:tc>
        <w:tc>
          <w:tcPr>
            <w:tcW w:w="3229" w:type="dxa"/>
            <w:vAlign w:val="center"/>
          </w:tcPr>
          <w:p>
            <w:pPr>
              <w:rPr>
                <w:rFonts w:ascii="Times New Roman" w:hAnsi="Times New Roman" w:cs="Times New Roman"/>
                <w:bCs/>
                <w:kern w:val="44"/>
                <w:sz w:val="24"/>
                <w:szCs w:val="16"/>
              </w:rPr>
            </w:pPr>
            <w:r>
              <w:rPr>
                <w:rFonts w:ascii="Times New Roman" w:hAnsi="Times New Roman" w:cs="Times New Roman"/>
                <w:bCs/>
                <w:kern w:val="44"/>
                <w:sz w:val="24"/>
                <w:szCs w:val="16"/>
              </w:rPr>
              <w:t>掌握脱水机使用；掌握不同组织固定、包埋及切片技术。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细胞学制片技术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1月</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掌握不同细胞学标本处理及制片技术。掌握不同</w:t>
            </w:r>
            <w:r>
              <w:rPr>
                <w:rFonts w:hint="eastAsia" w:ascii="Times New Roman" w:hAnsi="Times New Roman" w:cs="Times New Roman"/>
                <w:bCs/>
                <w:kern w:val="44"/>
                <w:sz w:val="24"/>
                <w:szCs w:val="16"/>
              </w:rPr>
              <w:t>细胞学</w:t>
            </w:r>
            <w:r>
              <w:rPr>
                <w:rFonts w:ascii="Times New Roman" w:hAnsi="Times New Roman" w:cs="Times New Roman"/>
                <w:bCs/>
                <w:kern w:val="44"/>
                <w:sz w:val="24"/>
                <w:szCs w:val="16"/>
              </w:rPr>
              <w:t>制片</w:t>
            </w:r>
            <w:r>
              <w:rPr>
                <w:rFonts w:hint="eastAsia" w:ascii="Times New Roman" w:hAnsi="Times New Roman" w:cs="Times New Roman"/>
                <w:bCs/>
                <w:kern w:val="44"/>
                <w:sz w:val="24"/>
                <w:szCs w:val="16"/>
              </w:rPr>
              <w:t>原理及</w:t>
            </w:r>
            <w:r>
              <w:rPr>
                <w:rFonts w:ascii="Times New Roman" w:hAnsi="Times New Roman" w:cs="Times New Roman"/>
                <w:bCs/>
                <w:kern w:val="44"/>
                <w:sz w:val="24"/>
                <w:szCs w:val="16"/>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常规染色技术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 xml:space="preserve">1月 </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掌握H&amp;E染色原理、手工染色流程；掌握全自动染色机操作流程。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特殊染色技术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 xml:space="preserve">1月 </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掌握常见特殊染色原理、手工染色流程；掌握染色要点，熟练</w:t>
            </w:r>
            <w:r>
              <w:rPr>
                <w:rFonts w:hint="eastAsia" w:ascii="Times New Roman" w:hAnsi="Times New Roman" w:cs="Times New Roman"/>
                <w:bCs/>
                <w:kern w:val="44"/>
                <w:sz w:val="24"/>
                <w:szCs w:val="16"/>
              </w:rPr>
              <w:t>操作</w:t>
            </w:r>
            <w:r>
              <w:rPr>
                <w:rFonts w:ascii="Times New Roman" w:hAnsi="Times New Roman" w:cs="Times New Roman"/>
                <w:bCs/>
                <w:kern w:val="44"/>
                <w:sz w:val="24"/>
                <w:szCs w:val="16"/>
              </w:rPr>
              <w:t>且染色结果符合要求。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冰冻切片技术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 xml:space="preserve">1月 </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掌握</w:t>
            </w:r>
            <w:r>
              <w:rPr>
                <w:rFonts w:hint="eastAsia" w:ascii="Times New Roman" w:hAnsi="Times New Roman" w:cs="Times New Roman"/>
                <w:bCs/>
                <w:kern w:val="44"/>
                <w:sz w:val="24"/>
                <w:szCs w:val="16"/>
              </w:rPr>
              <w:t>冰冻切片</w:t>
            </w:r>
            <w:r>
              <w:rPr>
                <w:rFonts w:ascii="Times New Roman" w:hAnsi="Times New Roman" w:cs="Times New Roman"/>
                <w:bCs/>
                <w:kern w:val="44"/>
                <w:sz w:val="24"/>
                <w:szCs w:val="16"/>
              </w:rPr>
              <w:t>原理、</w:t>
            </w:r>
            <w:r>
              <w:rPr>
                <w:rFonts w:hint="eastAsia" w:ascii="Times New Roman" w:hAnsi="Times New Roman" w:cs="Times New Roman"/>
                <w:bCs/>
                <w:kern w:val="44"/>
                <w:sz w:val="24"/>
                <w:szCs w:val="16"/>
              </w:rPr>
              <w:t>术中冰冻切片</w:t>
            </w:r>
            <w:r>
              <w:rPr>
                <w:rFonts w:ascii="Times New Roman" w:hAnsi="Times New Roman" w:cs="Times New Roman"/>
                <w:bCs/>
                <w:kern w:val="44"/>
                <w:sz w:val="24"/>
                <w:szCs w:val="16"/>
              </w:rPr>
              <w:t>手工染色流程；掌握</w:t>
            </w:r>
            <w:r>
              <w:rPr>
                <w:rFonts w:hint="eastAsia" w:ascii="Times New Roman" w:hAnsi="Times New Roman" w:cs="Times New Roman"/>
                <w:bCs/>
                <w:kern w:val="44"/>
                <w:sz w:val="24"/>
                <w:szCs w:val="16"/>
              </w:rPr>
              <w:t>切片</w:t>
            </w:r>
            <w:r>
              <w:rPr>
                <w:rFonts w:ascii="Times New Roman" w:hAnsi="Times New Roman" w:cs="Times New Roman"/>
                <w:bCs/>
                <w:kern w:val="44"/>
                <w:sz w:val="24"/>
                <w:szCs w:val="16"/>
              </w:rPr>
              <w:t>要点，熟练</w:t>
            </w:r>
            <w:r>
              <w:rPr>
                <w:rFonts w:hint="eastAsia" w:ascii="Times New Roman" w:hAnsi="Times New Roman" w:cs="Times New Roman"/>
                <w:bCs/>
                <w:kern w:val="44"/>
                <w:sz w:val="24"/>
                <w:szCs w:val="16"/>
              </w:rPr>
              <w:t>操作的切片制作</w:t>
            </w:r>
            <w:r>
              <w:rPr>
                <w:rFonts w:ascii="Times New Roman" w:hAnsi="Times New Roman" w:cs="Times New Roman"/>
                <w:bCs/>
                <w:kern w:val="44"/>
                <w:sz w:val="24"/>
                <w:szCs w:val="16"/>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免疫组织化学技术</w:t>
            </w:r>
          </w:p>
        </w:tc>
        <w:tc>
          <w:tcPr>
            <w:tcW w:w="236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跟随带教老师学习并实际操作。</w:t>
            </w:r>
          </w:p>
        </w:tc>
        <w:tc>
          <w:tcPr>
            <w:tcW w:w="1346"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 xml:space="preserve">2月 </w:t>
            </w:r>
          </w:p>
        </w:tc>
        <w:tc>
          <w:tcPr>
            <w:tcW w:w="3229" w:type="dxa"/>
            <w:vAlign w:val="center"/>
          </w:tcPr>
          <w:p>
            <w:pPr>
              <w:jc w:val="center"/>
              <w:rPr>
                <w:rFonts w:ascii="Times New Roman" w:hAnsi="Times New Roman" w:cs="Times New Roman"/>
                <w:bCs/>
                <w:kern w:val="44"/>
                <w:sz w:val="24"/>
                <w:szCs w:val="16"/>
              </w:rPr>
            </w:pPr>
            <w:r>
              <w:rPr>
                <w:rFonts w:ascii="Times New Roman" w:hAnsi="Times New Roman" w:cs="Times New Roman"/>
                <w:bCs/>
                <w:kern w:val="44"/>
                <w:sz w:val="24"/>
                <w:szCs w:val="16"/>
              </w:rPr>
              <w:t>掌握免疫组化原理、手工染色流程；掌握染色要点，熟练操作且染色结果符合要求；掌握不同染色平台操作</w:t>
            </w:r>
            <w:r>
              <w:rPr>
                <w:rFonts w:hint="eastAsia" w:ascii="Times New Roman" w:hAnsi="Times New Roman" w:cs="Times New Roman"/>
                <w:bCs/>
                <w:kern w:val="44"/>
                <w:sz w:val="24"/>
                <w:szCs w:val="16"/>
              </w:rPr>
              <w:t>流程</w:t>
            </w:r>
            <w:r>
              <w:rPr>
                <w:rFonts w:ascii="Times New Roman" w:hAnsi="Times New Roman" w:cs="Times New Roman"/>
                <w:bCs/>
                <w:kern w:val="44"/>
                <w:sz w:val="24"/>
                <w:szCs w:val="16"/>
              </w:rPr>
              <w:t>。</w:t>
            </w:r>
          </w:p>
        </w:tc>
      </w:tr>
    </w:tbl>
    <w:p>
      <w:pPr>
        <w:jc w:val="left"/>
        <w:rPr>
          <w:rFonts w:ascii="Times New Roman" w:hAnsi="Times New Roman" w:cs="Times New Roman"/>
          <w:b/>
          <w:kern w:val="44"/>
          <w:sz w:val="28"/>
          <w:szCs w:val="18"/>
        </w:rPr>
      </w:pPr>
    </w:p>
    <w:p>
      <w:pPr>
        <w:numPr>
          <w:ilvl w:val="0"/>
          <w:numId w:val="6"/>
        </w:numPr>
        <w:ind w:left="-560" w:firstLine="560"/>
        <w:jc w:val="left"/>
        <w:rPr>
          <w:rFonts w:ascii="Times New Roman" w:hAnsi="Times New Roman" w:cs="Times New Roman"/>
          <w:b/>
          <w:kern w:val="44"/>
          <w:sz w:val="28"/>
          <w:szCs w:val="18"/>
        </w:rPr>
      </w:pPr>
      <w:r>
        <w:rPr>
          <w:rFonts w:ascii="Times New Roman" w:hAnsi="Times New Roman" w:cs="Times New Roman"/>
          <w:b/>
          <w:kern w:val="44"/>
          <w:sz w:val="28"/>
          <w:szCs w:val="18"/>
        </w:rPr>
        <w:t>分子病理</w:t>
      </w:r>
    </w:p>
    <w:p>
      <w:pPr>
        <w:numPr>
          <w:ilvl w:val="0"/>
          <w:numId w:val="12"/>
        </w:numPr>
        <w:jc w:val="left"/>
        <w:outlineLvl w:val="0"/>
        <w:rPr>
          <w:rFonts w:ascii="Times New Roman" w:hAnsi="Times New Roman" w:cs="Times New Roman"/>
          <w:b/>
          <w:kern w:val="44"/>
          <w:sz w:val="28"/>
          <w:szCs w:val="18"/>
        </w:rPr>
      </w:pPr>
      <w:bookmarkStart w:id="30" w:name="_Toc2230"/>
      <w:r>
        <w:rPr>
          <w:rFonts w:ascii="Times New Roman" w:hAnsi="Times New Roman" w:cs="Times New Roman"/>
          <w:b/>
          <w:kern w:val="44"/>
          <w:sz w:val="28"/>
          <w:szCs w:val="18"/>
        </w:rPr>
        <w:t>教学形式</w:t>
      </w:r>
      <w:bookmarkEnd w:id="30"/>
    </w:p>
    <w:p>
      <w:pPr>
        <w:numPr>
          <w:ilvl w:val="0"/>
          <w:numId w:val="13"/>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采用</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一对一</w:t>
      </w:r>
      <w:r>
        <w:rPr>
          <w:rFonts w:hint="eastAsia" w:ascii="Times New Roman" w:hAnsi="Times New Roman" w:cs="Times New Roman"/>
          <w:bCs/>
          <w:kern w:val="44"/>
          <w:sz w:val="28"/>
          <w:szCs w:val="18"/>
        </w:rPr>
        <w:t>”</w:t>
      </w:r>
      <w:r>
        <w:rPr>
          <w:rFonts w:ascii="Times New Roman" w:hAnsi="Times New Roman" w:cs="Times New Roman"/>
          <w:bCs/>
          <w:kern w:val="44"/>
          <w:sz w:val="28"/>
          <w:szCs w:val="18"/>
        </w:rPr>
        <w:t>带教负责制，每位进修生指定一位高年资技师全程指导。带教老师根据进修人员基础情况，因材施教，制定合适的培训计划。</w:t>
      </w:r>
    </w:p>
    <w:p>
      <w:pPr>
        <w:numPr>
          <w:ilvl w:val="0"/>
          <w:numId w:val="13"/>
        </w:numPr>
        <w:jc w:val="left"/>
        <w:rPr>
          <w:rFonts w:ascii="Times New Roman" w:hAnsi="Times New Roman" w:cs="Times New Roman"/>
          <w:bCs/>
          <w:kern w:val="44"/>
          <w:sz w:val="28"/>
          <w:szCs w:val="18"/>
        </w:rPr>
      </w:pPr>
      <w:r>
        <w:rPr>
          <w:rFonts w:ascii="Times New Roman" w:hAnsi="Times New Roman" w:cs="Times New Roman"/>
          <w:bCs/>
          <w:kern w:val="44"/>
          <w:sz w:val="28"/>
          <w:szCs w:val="18"/>
        </w:rPr>
        <w:t>定期安排小讲课、专题讲座等教学活动。</w:t>
      </w:r>
    </w:p>
    <w:p>
      <w:pPr>
        <w:numPr>
          <w:ilvl w:val="0"/>
          <w:numId w:val="13"/>
        </w:numPr>
        <w:jc w:val="left"/>
        <w:outlineLvl w:val="1"/>
        <w:rPr>
          <w:rFonts w:ascii="Times New Roman" w:hAnsi="Times New Roman" w:cs="Times New Roman"/>
          <w:bCs/>
          <w:kern w:val="44"/>
          <w:sz w:val="28"/>
          <w:szCs w:val="18"/>
        </w:rPr>
      </w:pPr>
      <w:r>
        <w:rPr>
          <w:rFonts w:ascii="Times New Roman" w:hAnsi="Times New Roman" w:cs="Times New Roman"/>
          <w:bCs/>
          <w:kern w:val="44"/>
          <w:sz w:val="28"/>
          <w:szCs w:val="18"/>
        </w:rPr>
        <w:t xml:space="preserve"> 完成日常考核及结业考核。</w:t>
      </w:r>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日常考核：对进修生的实践操作能力、参与各类教学活动等进行评估。</w:t>
      </w:r>
    </w:p>
    <w:p>
      <w:pPr>
        <w:numPr>
          <w:ilvl w:val="0"/>
          <w:numId w:val="9"/>
        </w:numPr>
        <w:ind w:firstLine="560" w:firstLineChars="200"/>
        <w:jc w:val="left"/>
        <w:rPr>
          <w:rFonts w:ascii="Times New Roman" w:hAnsi="Times New Roman" w:cs="Times New Roman"/>
          <w:bCs/>
          <w:kern w:val="44"/>
          <w:sz w:val="28"/>
          <w:szCs w:val="18"/>
        </w:rPr>
      </w:pPr>
      <w:r>
        <w:rPr>
          <w:rFonts w:ascii="Times New Roman" w:hAnsi="Times New Roman" w:cs="Times New Roman"/>
          <w:bCs/>
          <w:kern w:val="44"/>
          <w:sz w:val="28"/>
          <w:szCs w:val="18"/>
        </w:rPr>
        <w:t>结业考核：包括理论考试、技能操作考试。</w:t>
      </w:r>
    </w:p>
    <w:p>
      <w:pPr>
        <w:numPr>
          <w:ilvl w:val="0"/>
          <w:numId w:val="12"/>
        </w:numPr>
        <w:jc w:val="left"/>
        <w:outlineLvl w:val="0"/>
        <w:rPr>
          <w:rFonts w:ascii="Times New Roman" w:hAnsi="Times New Roman" w:cs="Times New Roman"/>
          <w:b/>
          <w:kern w:val="44"/>
          <w:sz w:val="28"/>
          <w:szCs w:val="18"/>
        </w:rPr>
      </w:pPr>
      <w:bookmarkStart w:id="31" w:name="_Toc14563"/>
      <w:r>
        <w:rPr>
          <w:rFonts w:ascii="Times New Roman" w:hAnsi="Times New Roman" w:cs="Times New Roman"/>
          <w:b/>
          <w:kern w:val="44"/>
          <w:sz w:val="28"/>
          <w:szCs w:val="18"/>
        </w:rPr>
        <w:t>教学内容</w:t>
      </w:r>
      <w:bookmarkEnd w:id="31"/>
    </w:p>
    <w:tbl>
      <w:tblPr>
        <w:tblStyle w:val="8"/>
        <w:tblpPr w:leftFromText="180" w:rightFromText="180" w:vertAnchor="text" w:horzAnchor="page" w:tblpX="945" w:tblpY="374"/>
        <w:tblOverlap w:val="never"/>
        <w:tblW w:w="10287" w:type="dxa"/>
        <w:tblInd w:w="0" w:type="dxa"/>
        <w:tblLayout w:type="fixed"/>
        <w:tblCellMar>
          <w:top w:w="0" w:type="dxa"/>
          <w:left w:w="108" w:type="dxa"/>
          <w:bottom w:w="0" w:type="dxa"/>
          <w:right w:w="108" w:type="dxa"/>
        </w:tblCellMar>
      </w:tblPr>
      <w:tblGrid>
        <w:gridCol w:w="2850"/>
        <w:gridCol w:w="2800"/>
        <w:gridCol w:w="850"/>
        <w:gridCol w:w="2550"/>
        <w:gridCol w:w="1237"/>
      </w:tblGrid>
      <w:tr>
        <w:tblPrEx>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培训内容</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预期目标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培训时间</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培训形式</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带教老师</w:t>
            </w:r>
          </w:p>
        </w:tc>
      </w:tr>
      <w:tr>
        <w:tblPrEx>
          <w:tblCellMar>
            <w:top w:w="0" w:type="dxa"/>
            <w:left w:w="108" w:type="dxa"/>
            <w:bottom w:w="0" w:type="dxa"/>
            <w:right w:w="108" w:type="dxa"/>
          </w:tblCellMar>
        </w:tblPrEx>
        <w:trPr>
          <w:trHeight w:val="3188"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1、FISH平台：</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①　荧光原位杂交的实验流程。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②　浸润乳腺癌与非浸润乳腺癌的区分；其他肿瘤癌和非癌区域鉴别。</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③　荧光信号的判读。</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1、熟悉荧光信号的表现形式；</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2、能够独立完成荧光原位杂交实验流程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3、能对乳腺癌及胃癌的HER2基因进行判读，对复杂的信号表现形式进行初步分析。</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1个月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1、理论以《乳腺癌HER2基因检测指南》《胃癌HER2基因检测指南》为教材，结合带教老师的FISH专题讲座，普及荧光原位杂交的基础知识。</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2、操作教师示范及实践操作。</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3、结合临床及实验结果进行报告初步判读。</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陈宝珍</w:t>
            </w:r>
          </w:p>
        </w:tc>
      </w:tr>
      <w:tr>
        <w:tblPrEx>
          <w:tblCellMar>
            <w:top w:w="0" w:type="dxa"/>
            <w:left w:w="108" w:type="dxa"/>
            <w:bottom w:w="0" w:type="dxa"/>
            <w:right w:w="108" w:type="dxa"/>
          </w:tblCellMar>
        </w:tblPrEx>
        <w:trPr>
          <w:trHeight w:val="126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2、流式平台：</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①　流式细胞术的基本概念和流式细胞仪工作原理</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②　流式各个通道的意义及结果表示；</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③　免疫分型、免疫功能、细胞因子、淋巴细胞亚群、PD1/Treg等检测项目的检测原理、实验操作和结果分析；</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④　BD流式细胞仪和安捷伦流式细胞仪的操作及维护。</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1、了解流式细胞技术工作原理及仪器操作和维护；</w:t>
            </w:r>
          </w:p>
          <w:p>
            <w:pPr>
              <w:widowControl/>
              <w:jc w:val="left"/>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2、熟悉免疫分型、免疫功能、细胞因子、PD1项目操作流程；</w:t>
            </w:r>
          </w:p>
          <w:p>
            <w:pPr>
              <w:widowControl/>
              <w:jc w:val="left"/>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3、掌握淋巴瘤圈门及结果判读；</w:t>
            </w:r>
          </w:p>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4、掌握PD1/Treg检测和淋巴细胞亚群检测的圈门及结果判读。</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1个月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1、以《医学分子生物学实验技术》为基本教材；</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2、带教老师示范及实践操作；</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3、专题讲座；</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4、初步分析临床病例结果</w:t>
            </w:r>
            <w:r>
              <w:rPr>
                <w:rFonts w:hint="eastAsia" w:ascii="Times New Roman" w:hAnsi="Times New Roman" w:eastAsia="宋体" w:cs="Times New Roman"/>
                <w:color w:val="000000"/>
                <w:kern w:val="0"/>
                <w:sz w:val="24"/>
                <w:lang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师怡</w:t>
            </w:r>
          </w:p>
        </w:tc>
      </w:tr>
      <w:tr>
        <w:tblPrEx>
          <w:tblCellMar>
            <w:top w:w="0" w:type="dxa"/>
            <w:left w:w="108" w:type="dxa"/>
            <w:bottom w:w="0" w:type="dxa"/>
            <w:right w:w="108" w:type="dxa"/>
          </w:tblCellMar>
        </w:tblPrEx>
        <w:trPr>
          <w:trHeight w:val="220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60"/>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3、PCR平台：</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①　PCR实验室建设、布局；</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②　PCR的检测原理及检测流程；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③　PCR结果的报告出具流程以及报告解读。</w:t>
            </w:r>
            <w:r>
              <w:rPr>
                <w:rFonts w:ascii="Times New Roman" w:hAnsi="Times New Roman" w:eastAsia="宋体" w:cs="Times New Roman"/>
                <w:color w:val="000000"/>
                <w:kern w:val="0"/>
                <w:sz w:val="24"/>
                <w:lang w:bidi="ar"/>
              </w:rPr>
              <w:br w:type="textWrapping"/>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1、熟悉PCR检测的相关理论基础，PCR实验室建设、布局；</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2、掌握PCR基本操作；</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3、了解PCR正常图像的判读，及报告解读。</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1个月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1.以《医学分子生物学实验技术》为基本教材教学</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2.教师示范及实践操作</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3.靶向检测报告解读。</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4.专题讲座。</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柯龙凤</w:t>
            </w:r>
          </w:p>
        </w:tc>
      </w:tr>
      <w:tr>
        <w:tblPrEx>
          <w:tblCellMar>
            <w:top w:w="0" w:type="dxa"/>
            <w:left w:w="108" w:type="dxa"/>
            <w:bottom w:w="0" w:type="dxa"/>
            <w:right w:w="108" w:type="dxa"/>
          </w:tblCellMar>
        </w:tblPrEx>
        <w:trPr>
          <w:trHeight w:val="84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4、Sanger测序：</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①　sanger测序原理；</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②　Sanger测序分析，片段分析，毛细管电泳，电泳图解读、序列读取、质量控制等；</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③　临床应用中的Sanger测序和片段分析。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1、掌握sanger测序实验操作流程；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2、了解sanger测序的原理和结果分析；</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3、了解临床应用中的Sanger测序。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1个月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1.以《医学分子生物学实验技术》为基本教材教学</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2.实验室实践：学员在实验室中进行实际操作，由讲师指导和辅助。这种形式可以让学员亲自动手进行样品处理、测序反应等实验操作，加深他们的理解和技能</w:t>
            </w:r>
            <w:r>
              <w:rPr>
                <w:rFonts w:hint="eastAsia" w:ascii="Times New Roman" w:hAnsi="Times New Roman" w:eastAsia="宋体" w:cs="Times New Roman"/>
                <w:color w:val="000000"/>
                <w:kern w:val="0"/>
                <w:sz w:val="24"/>
                <w:lang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王晓江</w:t>
            </w:r>
          </w:p>
        </w:tc>
      </w:tr>
      <w:tr>
        <w:tblPrEx>
          <w:tblCellMar>
            <w:top w:w="0" w:type="dxa"/>
            <w:left w:w="108" w:type="dxa"/>
            <w:bottom w:w="0" w:type="dxa"/>
            <w:right w:w="108" w:type="dxa"/>
          </w:tblCellMar>
        </w:tblPrEx>
        <w:trPr>
          <w:trHeight w:val="840" w:hRule="atLeast"/>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5、NGS平台：</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①　三大平台的检测原理及检测流程；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②　生信分析及报告出具流程；</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③　肺癌、肠癌、乳腺癌、卵巢癌等检测项目的报告解读。</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1、熟悉NGS三大平台检测原理及流程（illumina平台、华大平台、life平台）；</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2、掌握检测流程并能独立操作核酸提取、文库构建及上机步骤；</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3、了解生信分析及报告出具流程，能基本了解报告内容及对报告进行基础解读。</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2个月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1、以肺癌、肠癌、乳腺癌、卵巢癌中国专家共识及NCCN指南为教材</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2、带教示范及实践操作</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br w:type="textWrapping"/>
            </w:r>
            <w:r>
              <w:rPr>
                <w:rFonts w:ascii="Times New Roman" w:hAnsi="Times New Roman" w:eastAsia="宋体" w:cs="Times New Roman"/>
                <w:color w:val="000000"/>
                <w:kern w:val="0"/>
                <w:sz w:val="24"/>
                <w:lang w:bidi="ar"/>
              </w:rPr>
              <w:t>3、科内专题讲座</w:t>
            </w:r>
            <w:r>
              <w:rPr>
                <w:rFonts w:hint="eastAsia" w:ascii="Times New Roman" w:hAnsi="Times New Roman" w:eastAsia="宋体" w:cs="Times New Roman"/>
                <w:color w:val="000000"/>
                <w:kern w:val="0"/>
                <w:sz w:val="24"/>
                <w:lang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师怡</w:t>
            </w:r>
          </w:p>
        </w:tc>
      </w:tr>
    </w:tbl>
    <w:p>
      <w:pPr>
        <w:pStyle w:val="2"/>
        <w:jc w:val="center"/>
        <w:rPr>
          <w:rFonts w:ascii="Times New Roman" w:hAnsi="Times New Roman" w:cs="Times New Roman"/>
        </w:rPr>
      </w:pPr>
      <w:bookmarkStart w:id="32" w:name="_Toc9265"/>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bookmarkStart w:id="33" w:name="_Toc11533"/>
    </w:p>
    <w:p/>
    <w:p>
      <w:pPr>
        <w:pStyle w:val="2"/>
        <w:jc w:val="center"/>
        <w:rPr>
          <w:rFonts w:ascii="Times New Roman" w:hAnsi="Times New Roman" w:cs="Times New Roman"/>
        </w:rPr>
      </w:pPr>
      <w:r>
        <w:rPr>
          <w:rFonts w:ascii="Times New Roman" w:hAnsi="Times New Roman" w:cs="Times New Roman"/>
        </w:rPr>
        <w:t>进修生培养计划</w:t>
      </w:r>
      <w:bookmarkEnd w:id="32"/>
      <w:bookmarkEnd w:id="33"/>
    </w:p>
    <w:p>
      <w:pPr>
        <w:pStyle w:val="3"/>
        <w:rPr>
          <w:rFonts w:ascii="Times New Roman" w:hAnsi="Times New Roman" w:cs="Times New Roman"/>
        </w:rPr>
      </w:pPr>
      <w:bookmarkStart w:id="34" w:name="_Toc26034"/>
      <w:bookmarkStart w:id="35" w:name="_Toc20484"/>
      <w:r>
        <w:rPr>
          <w:rFonts w:ascii="Times New Roman" w:hAnsi="Times New Roman" w:cs="Times New Roman"/>
        </w:rPr>
        <w:t>一、入科教育</w:t>
      </w:r>
      <w:bookmarkEnd w:id="34"/>
      <w:bookmarkEnd w:id="35"/>
    </w:p>
    <w:p>
      <w:pPr>
        <w:numPr>
          <w:ilvl w:val="0"/>
          <w:numId w:val="14"/>
        </w:numPr>
        <w:ind w:firstLine="560" w:firstLineChars="200"/>
        <w:rPr>
          <w:rFonts w:ascii="Times New Roman" w:hAnsi="Times New Roman" w:cs="Times New Roman"/>
          <w:sz w:val="28"/>
          <w:szCs w:val="28"/>
        </w:rPr>
      </w:pPr>
      <w:r>
        <w:rPr>
          <w:rFonts w:ascii="Times New Roman" w:hAnsi="Times New Roman" w:cs="Times New Roman"/>
          <w:sz w:val="28"/>
          <w:szCs w:val="28"/>
        </w:rPr>
        <w:t>介绍组织及其将要工作的部门或区域的任务、职权、义务、责任以及可能遇到的生物安全风险、员工设施、涉及员工健康的风险以及职业卫生保健服务等。</w:t>
      </w:r>
    </w:p>
    <w:p>
      <w:pPr>
        <w:numPr>
          <w:ilvl w:val="0"/>
          <w:numId w:val="14"/>
        </w:numPr>
        <w:ind w:firstLine="560" w:firstLineChars="200"/>
        <w:rPr>
          <w:rFonts w:ascii="Times New Roman" w:hAnsi="Times New Roman" w:cs="Times New Roman"/>
          <w:sz w:val="28"/>
          <w:szCs w:val="28"/>
        </w:rPr>
      </w:pPr>
      <w:r>
        <w:rPr>
          <w:rFonts w:ascii="Times New Roman" w:hAnsi="Times New Roman" w:cs="Times New Roman"/>
          <w:sz w:val="28"/>
          <w:szCs w:val="28"/>
        </w:rPr>
        <w:t>介绍各种实验室安全要求如火灾、各种应急事件及其应对要求等。</w:t>
      </w:r>
    </w:p>
    <w:p>
      <w:pPr>
        <w:numPr>
          <w:ilvl w:val="0"/>
          <w:numId w:val="14"/>
        </w:numPr>
        <w:ind w:firstLine="560" w:firstLineChars="200"/>
        <w:rPr>
          <w:rFonts w:ascii="Times New Roman" w:hAnsi="Times New Roman" w:cs="Times New Roman"/>
          <w:sz w:val="28"/>
          <w:szCs w:val="28"/>
        </w:rPr>
      </w:pPr>
      <w:r>
        <w:rPr>
          <w:rFonts w:ascii="Times New Roman" w:hAnsi="Times New Roman" w:cs="Times New Roman"/>
          <w:sz w:val="28"/>
          <w:szCs w:val="28"/>
        </w:rPr>
        <w:t>进行医德医风、医院及科室各项规章制度、科室的文化理念等的岗前培训。</w:t>
      </w:r>
    </w:p>
    <w:p>
      <w:pPr>
        <w:numPr>
          <w:ilvl w:val="0"/>
          <w:numId w:val="14"/>
        </w:numPr>
        <w:ind w:firstLine="560" w:firstLineChars="200"/>
        <w:rPr>
          <w:rFonts w:ascii="Times New Roman" w:hAnsi="Times New Roman" w:cs="Times New Roman"/>
          <w:sz w:val="28"/>
          <w:szCs w:val="28"/>
        </w:rPr>
      </w:pPr>
      <w:r>
        <w:rPr>
          <w:rFonts w:ascii="Times New Roman" w:hAnsi="Times New Roman" w:cs="Times New Roman"/>
          <w:sz w:val="28"/>
          <w:szCs w:val="28"/>
        </w:rPr>
        <w:t>仪器设备的使用规范及注意事项。</w:t>
      </w:r>
    </w:p>
    <w:p>
      <w:pPr>
        <w:numPr>
          <w:ilvl w:val="0"/>
          <w:numId w:val="14"/>
        </w:numPr>
        <w:ind w:firstLine="560" w:firstLineChars="200"/>
        <w:rPr>
          <w:rFonts w:ascii="Times New Roman" w:hAnsi="Times New Roman" w:cs="Times New Roman"/>
          <w:sz w:val="28"/>
          <w:szCs w:val="28"/>
        </w:rPr>
      </w:pPr>
      <w:r>
        <w:rPr>
          <w:rFonts w:ascii="Times New Roman" w:hAnsi="Times New Roman" w:cs="Times New Roman"/>
          <w:sz w:val="28"/>
          <w:szCs w:val="28"/>
        </w:rPr>
        <w:t>实验记录、报告的书写要求。</w:t>
      </w:r>
    </w:p>
    <w:p>
      <w:pPr>
        <w:pStyle w:val="3"/>
        <w:rPr>
          <w:rFonts w:ascii="Times New Roman" w:hAnsi="Times New Roman" w:cs="Times New Roman"/>
        </w:rPr>
      </w:pPr>
      <w:bookmarkStart w:id="36" w:name="_Toc20053"/>
      <w:bookmarkStart w:id="37" w:name="_Toc21193"/>
      <w:r>
        <w:rPr>
          <w:rFonts w:ascii="Times New Roman" w:hAnsi="Times New Roman" w:cs="Times New Roman"/>
        </w:rPr>
        <w:t>二、考勤管理</w:t>
      </w:r>
      <w:bookmarkEnd w:id="36"/>
      <w:bookmarkEnd w:id="37"/>
    </w:p>
    <w:p>
      <w:pPr>
        <w:numPr>
          <w:ilvl w:val="0"/>
          <w:numId w:val="15"/>
        </w:numPr>
        <w:ind w:firstLine="560" w:firstLineChars="200"/>
        <w:outlineLvl w:val="0"/>
        <w:rPr>
          <w:rFonts w:ascii="Times New Roman" w:hAnsi="Times New Roman" w:cs="Times New Roman"/>
          <w:sz w:val="28"/>
          <w:szCs w:val="36"/>
        </w:rPr>
      </w:pPr>
      <w:bookmarkStart w:id="38" w:name="_Toc797"/>
      <w:r>
        <w:rPr>
          <w:rFonts w:ascii="Times New Roman" w:hAnsi="Times New Roman" w:cs="Times New Roman"/>
          <w:sz w:val="28"/>
          <w:szCs w:val="36"/>
        </w:rPr>
        <w:t>进修管理员做好进修生登记工作。</w:t>
      </w:r>
      <w:bookmarkEnd w:id="38"/>
    </w:p>
    <w:p>
      <w:pPr>
        <w:numPr>
          <w:ilvl w:val="0"/>
          <w:numId w:val="15"/>
        </w:numPr>
        <w:ind w:firstLine="560" w:firstLineChars="200"/>
        <w:rPr>
          <w:rFonts w:ascii="Times New Roman" w:hAnsi="Times New Roman" w:cs="Times New Roman"/>
          <w:sz w:val="28"/>
          <w:szCs w:val="36"/>
        </w:rPr>
      </w:pPr>
      <w:r>
        <w:rPr>
          <w:rFonts w:ascii="Times New Roman" w:hAnsi="Times New Roman" w:cs="Times New Roman"/>
          <w:sz w:val="28"/>
          <w:szCs w:val="36"/>
        </w:rPr>
        <w:t>原则上不允许中途回原单位或家乡。特殊情况确有需要者，需严格按照医院做好请销假手续。</w:t>
      </w:r>
    </w:p>
    <w:p>
      <w:pPr>
        <w:numPr>
          <w:ilvl w:val="0"/>
          <w:numId w:val="15"/>
        </w:numPr>
        <w:ind w:firstLine="560" w:firstLineChars="200"/>
        <w:rPr>
          <w:rFonts w:ascii="Times New Roman" w:hAnsi="Times New Roman" w:cs="Times New Roman"/>
          <w:sz w:val="28"/>
          <w:szCs w:val="36"/>
        </w:rPr>
      </w:pPr>
      <w:r>
        <w:rPr>
          <w:rFonts w:ascii="Times New Roman" w:hAnsi="Times New Roman" w:cs="Times New Roman"/>
          <w:sz w:val="28"/>
          <w:szCs w:val="36"/>
        </w:rPr>
        <w:t>进修生接受教育处查岗，凡未办理请假手续私自旷工超过两次将报科主任，并上报教育处，情节严重者取消进修资格。</w:t>
      </w:r>
    </w:p>
    <w:p>
      <w:pPr>
        <w:pStyle w:val="3"/>
        <w:rPr>
          <w:rFonts w:ascii="Times New Roman" w:hAnsi="Times New Roman" w:cs="Times New Roman"/>
        </w:rPr>
      </w:pPr>
      <w:bookmarkStart w:id="39" w:name="_Toc5444"/>
      <w:bookmarkStart w:id="40" w:name="_Toc25524"/>
      <w:r>
        <w:rPr>
          <w:rFonts w:ascii="Times New Roman" w:hAnsi="Times New Roman" w:cs="Times New Roman"/>
        </w:rPr>
        <w:t>三、业务学习</w:t>
      </w:r>
      <w:bookmarkEnd w:id="39"/>
      <w:bookmarkEnd w:id="40"/>
    </w:p>
    <w:p>
      <w:pPr>
        <w:numPr>
          <w:ilvl w:val="0"/>
          <w:numId w:val="16"/>
        </w:numPr>
        <w:ind w:firstLine="560" w:firstLineChars="200"/>
        <w:rPr>
          <w:rFonts w:ascii="Times New Roman" w:hAnsi="Times New Roman" w:cs="Times New Roman"/>
          <w:sz w:val="28"/>
          <w:szCs w:val="36"/>
        </w:rPr>
      </w:pPr>
      <w:r>
        <w:rPr>
          <w:rFonts w:ascii="Times New Roman" w:hAnsi="Times New Roman" w:cs="Times New Roman"/>
          <w:sz w:val="28"/>
          <w:szCs w:val="36"/>
        </w:rPr>
        <w:t>每周一次，举办由科内组织的晨读讲座。内容包括本专业的理论、技术及最新进展。</w:t>
      </w:r>
    </w:p>
    <w:p>
      <w:pPr>
        <w:numPr>
          <w:ilvl w:val="0"/>
          <w:numId w:val="16"/>
        </w:numPr>
        <w:ind w:firstLine="560" w:firstLineChars="200"/>
        <w:outlineLvl w:val="0"/>
        <w:rPr>
          <w:rFonts w:ascii="Times New Roman" w:hAnsi="Times New Roman" w:cs="Times New Roman"/>
          <w:sz w:val="28"/>
          <w:szCs w:val="36"/>
        </w:rPr>
      </w:pPr>
      <w:bookmarkStart w:id="41" w:name="_Toc6039"/>
      <w:r>
        <w:rPr>
          <w:rFonts w:ascii="Times New Roman" w:hAnsi="Times New Roman" w:cs="Times New Roman"/>
          <w:sz w:val="28"/>
          <w:szCs w:val="36"/>
        </w:rPr>
        <w:t>诊断医师每月2次多头带教疑难病例讨论。</w:t>
      </w:r>
      <w:bookmarkEnd w:id="41"/>
    </w:p>
    <w:p>
      <w:pPr>
        <w:numPr>
          <w:ilvl w:val="0"/>
          <w:numId w:val="16"/>
        </w:numPr>
        <w:ind w:firstLine="560" w:firstLineChars="200"/>
        <w:rPr>
          <w:rFonts w:ascii="Times New Roman" w:hAnsi="Times New Roman" w:cs="Times New Roman"/>
          <w:sz w:val="28"/>
          <w:szCs w:val="36"/>
        </w:rPr>
      </w:pPr>
      <w:r>
        <w:rPr>
          <w:rFonts w:ascii="Times New Roman" w:hAnsi="Times New Roman" w:cs="Times New Roman"/>
          <w:sz w:val="28"/>
          <w:szCs w:val="36"/>
        </w:rPr>
        <w:t>各亚专业组带教老师结合本专业情况，自行安排小讲课、带教等活动。</w:t>
      </w:r>
    </w:p>
    <w:p>
      <w:pPr>
        <w:pStyle w:val="3"/>
        <w:rPr>
          <w:rFonts w:ascii="Times New Roman" w:hAnsi="Times New Roman" w:cs="Times New Roman"/>
        </w:rPr>
      </w:pPr>
      <w:bookmarkStart w:id="42" w:name="_Toc16312"/>
      <w:bookmarkStart w:id="43" w:name="_Toc29072"/>
      <w:r>
        <w:rPr>
          <w:rFonts w:ascii="Times New Roman" w:hAnsi="Times New Roman" w:cs="Times New Roman"/>
        </w:rPr>
        <w:t>四、操作示教</w:t>
      </w:r>
      <w:bookmarkEnd w:id="42"/>
      <w:bookmarkEnd w:id="43"/>
    </w:p>
    <w:p>
      <w:pPr>
        <w:numPr>
          <w:ilvl w:val="0"/>
          <w:numId w:val="17"/>
        </w:numPr>
        <w:ind w:firstLine="560" w:firstLineChars="200"/>
        <w:outlineLvl w:val="0"/>
        <w:rPr>
          <w:rFonts w:ascii="Times New Roman" w:hAnsi="Times New Roman" w:cs="Times New Roman"/>
          <w:sz w:val="28"/>
          <w:szCs w:val="36"/>
        </w:rPr>
      </w:pPr>
      <w:bookmarkStart w:id="44" w:name="_Toc28089"/>
      <w:r>
        <w:rPr>
          <w:rFonts w:ascii="Times New Roman" w:hAnsi="Times New Roman" w:cs="Times New Roman"/>
          <w:sz w:val="28"/>
          <w:szCs w:val="36"/>
        </w:rPr>
        <w:t>病理技术和分子病理需时间操作。</w:t>
      </w:r>
      <w:bookmarkEnd w:id="44"/>
    </w:p>
    <w:p>
      <w:pPr>
        <w:numPr>
          <w:ilvl w:val="0"/>
          <w:numId w:val="17"/>
        </w:numPr>
        <w:ind w:firstLine="560" w:firstLineChars="200"/>
        <w:rPr>
          <w:rFonts w:ascii="Times New Roman" w:hAnsi="Times New Roman" w:cs="Times New Roman"/>
          <w:sz w:val="28"/>
          <w:szCs w:val="36"/>
        </w:rPr>
      </w:pPr>
      <w:r>
        <w:rPr>
          <w:rFonts w:ascii="Times New Roman" w:hAnsi="Times New Roman" w:cs="Times New Roman"/>
          <w:sz w:val="28"/>
          <w:szCs w:val="36"/>
        </w:rPr>
        <w:t>在完成日常工作的前提下，尽量创造条件让进修人员独立操作，老师观察指导。</w:t>
      </w:r>
    </w:p>
    <w:p>
      <w:pPr>
        <w:numPr>
          <w:ilvl w:val="0"/>
          <w:numId w:val="17"/>
        </w:numPr>
        <w:ind w:firstLine="560" w:firstLineChars="200"/>
        <w:rPr>
          <w:rFonts w:ascii="Times New Roman" w:hAnsi="Times New Roman" w:cs="Times New Roman"/>
          <w:sz w:val="28"/>
          <w:szCs w:val="36"/>
        </w:rPr>
      </w:pPr>
      <w:r>
        <w:rPr>
          <w:rFonts w:ascii="Times New Roman" w:hAnsi="Times New Roman" w:cs="Times New Roman"/>
          <w:sz w:val="28"/>
          <w:szCs w:val="36"/>
        </w:rPr>
        <w:t xml:space="preserve"> 尽量根据进修人员的需求，安排更多时间学习薄弱实验技术环节。</w:t>
      </w:r>
    </w:p>
    <w:p>
      <w:pPr>
        <w:pStyle w:val="3"/>
        <w:rPr>
          <w:rFonts w:ascii="Times New Roman" w:hAnsi="Times New Roman" w:cs="Times New Roman"/>
        </w:rPr>
      </w:pPr>
      <w:bookmarkStart w:id="45" w:name="_Toc8517"/>
      <w:bookmarkStart w:id="46" w:name="_Toc5495"/>
      <w:r>
        <w:rPr>
          <w:rFonts w:ascii="Times New Roman" w:hAnsi="Times New Roman" w:cs="Times New Roman"/>
        </w:rPr>
        <w:t>五、继续教育</w:t>
      </w:r>
      <w:bookmarkEnd w:id="45"/>
      <w:bookmarkEnd w:id="46"/>
    </w:p>
    <w:p>
      <w:pPr>
        <w:numPr>
          <w:ilvl w:val="0"/>
          <w:numId w:val="18"/>
        </w:numPr>
        <w:ind w:firstLine="560" w:firstLineChars="200"/>
        <w:rPr>
          <w:rFonts w:ascii="Times New Roman" w:hAnsi="Times New Roman" w:cs="Times New Roman"/>
          <w:sz w:val="28"/>
          <w:szCs w:val="36"/>
        </w:rPr>
      </w:pPr>
      <w:r>
        <w:rPr>
          <w:rFonts w:ascii="Times New Roman" w:hAnsi="Times New Roman" w:cs="Times New Roman"/>
          <w:sz w:val="28"/>
          <w:szCs w:val="36"/>
        </w:rPr>
        <w:t>鼓励进修人员参加或旁听医院举办的各种继续教育学习班。</w:t>
      </w:r>
    </w:p>
    <w:p>
      <w:pPr>
        <w:numPr>
          <w:ilvl w:val="0"/>
          <w:numId w:val="18"/>
        </w:numPr>
        <w:ind w:firstLine="560" w:firstLineChars="200"/>
        <w:rPr>
          <w:rFonts w:ascii="Times New Roman" w:hAnsi="Times New Roman" w:cs="Times New Roman"/>
          <w:sz w:val="28"/>
          <w:szCs w:val="36"/>
        </w:rPr>
      </w:pPr>
      <w:r>
        <w:rPr>
          <w:rFonts w:ascii="Times New Roman" w:hAnsi="Times New Roman" w:cs="Times New Roman"/>
          <w:sz w:val="28"/>
          <w:szCs w:val="36"/>
        </w:rPr>
        <w:t>向进修人员推送专业教材和各学习班的教材。</w:t>
      </w:r>
    </w:p>
    <w:p>
      <w:pPr>
        <w:pStyle w:val="3"/>
        <w:rPr>
          <w:rFonts w:ascii="Times New Roman" w:hAnsi="Times New Roman" w:cs="Times New Roman"/>
        </w:rPr>
      </w:pPr>
      <w:bookmarkStart w:id="47" w:name="_Toc23078"/>
      <w:bookmarkStart w:id="48" w:name="_Toc31926"/>
      <w:r>
        <w:rPr>
          <w:rFonts w:ascii="Times New Roman" w:hAnsi="Times New Roman" w:cs="Times New Roman"/>
        </w:rPr>
        <w:t>六、考核考评</w:t>
      </w:r>
      <w:bookmarkEnd w:id="47"/>
      <w:bookmarkEnd w:id="48"/>
    </w:p>
    <w:p>
      <w:pPr>
        <w:numPr>
          <w:ilvl w:val="0"/>
          <w:numId w:val="19"/>
        </w:numPr>
        <w:ind w:firstLine="560" w:firstLineChars="200"/>
        <w:rPr>
          <w:rFonts w:ascii="Times New Roman" w:hAnsi="Times New Roman" w:cs="Times New Roman"/>
          <w:sz w:val="28"/>
          <w:szCs w:val="36"/>
        </w:rPr>
      </w:pPr>
      <w:r>
        <w:rPr>
          <w:rFonts w:ascii="Times New Roman" w:hAnsi="Times New Roman" w:cs="Times New Roman"/>
          <w:sz w:val="28"/>
          <w:szCs w:val="36"/>
        </w:rPr>
        <w:t xml:space="preserve"> 进修生结束前按照教育处要求，完成考核并记录。考核结果上报至教育处。</w:t>
      </w:r>
    </w:p>
    <w:p>
      <w:pPr>
        <w:numPr>
          <w:ilvl w:val="0"/>
          <w:numId w:val="19"/>
        </w:numPr>
        <w:ind w:firstLine="560" w:firstLineChars="200"/>
        <w:rPr>
          <w:rFonts w:ascii="Times New Roman" w:hAnsi="Times New Roman" w:cs="Times New Roman"/>
          <w:sz w:val="28"/>
          <w:szCs w:val="36"/>
        </w:rPr>
      </w:pPr>
      <w:r>
        <w:rPr>
          <w:rFonts w:ascii="Times New Roman" w:hAnsi="Times New Roman" w:cs="Times New Roman"/>
          <w:sz w:val="28"/>
          <w:szCs w:val="36"/>
        </w:rPr>
        <w:t xml:space="preserve"> 进修结束时，由带教老师安排考试，分为理论考核和技能操作考核。</w:t>
      </w:r>
    </w:p>
    <w:p>
      <w:pPr>
        <w:numPr>
          <w:ilvl w:val="0"/>
          <w:numId w:val="19"/>
        </w:numPr>
        <w:ind w:firstLine="560" w:firstLineChars="200"/>
        <w:outlineLvl w:val="0"/>
        <w:rPr>
          <w:rFonts w:ascii="Times New Roman" w:hAnsi="Times New Roman" w:cs="Times New Roman"/>
          <w:sz w:val="28"/>
          <w:szCs w:val="36"/>
        </w:rPr>
      </w:pPr>
      <w:bookmarkStart w:id="49" w:name="_Toc9424"/>
      <w:r>
        <w:rPr>
          <w:rFonts w:ascii="Times New Roman" w:hAnsi="Times New Roman" w:cs="Times New Roman"/>
          <w:sz w:val="28"/>
          <w:szCs w:val="36"/>
        </w:rPr>
        <w:t>试卷上须有考核老师评卷痕迹、分数，签名并注明日期。</w:t>
      </w:r>
      <w:bookmarkEnd w:id="49"/>
    </w:p>
    <w:p>
      <w:pPr>
        <w:numPr>
          <w:ilvl w:val="0"/>
          <w:numId w:val="19"/>
        </w:numPr>
        <w:ind w:firstLine="560" w:firstLineChars="200"/>
        <w:rPr>
          <w:rFonts w:ascii="Times New Roman" w:hAnsi="Times New Roman" w:cs="Times New Roman"/>
          <w:sz w:val="28"/>
          <w:szCs w:val="36"/>
        </w:rPr>
      </w:pPr>
      <w:r>
        <w:rPr>
          <w:rFonts w:ascii="Times New Roman" w:hAnsi="Times New Roman" w:cs="Times New Roman"/>
          <w:sz w:val="28"/>
          <w:szCs w:val="36"/>
        </w:rPr>
        <w:t>进修生进修结束后应对其所学内容进行概括总结、并制作PPT于科内分享。</w:t>
      </w:r>
    </w:p>
    <w:p>
      <w:pPr>
        <w:numPr>
          <w:ilvl w:val="0"/>
          <w:numId w:val="19"/>
        </w:numPr>
        <w:ind w:firstLine="560" w:firstLineChars="200"/>
        <w:rPr>
          <w:rFonts w:ascii="Times New Roman" w:hAnsi="Times New Roman" w:cs="Times New Roman"/>
          <w:sz w:val="28"/>
          <w:szCs w:val="36"/>
        </w:rPr>
      </w:pPr>
      <w:r>
        <w:rPr>
          <w:rFonts w:ascii="Times New Roman" w:hAnsi="Times New Roman" w:cs="Times New Roman"/>
          <w:sz w:val="28"/>
          <w:szCs w:val="36"/>
        </w:rPr>
        <w:t>由科主任及带教医师对进修医师平时的职业道德、劳动纪律、实验操作能力、结果解读能力等进修评估。</w:t>
      </w:r>
    </w:p>
    <w:p>
      <w:pPr>
        <w:rPr>
          <w:rFonts w:ascii="Times New Roman" w:hAnsi="Times New Roman" w:cs="Times New Roman"/>
          <w:sz w:val="28"/>
          <w:szCs w:val="36"/>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469506"/>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2EC9A"/>
    <w:multiLevelType w:val="singleLevel"/>
    <w:tmpl w:val="8142EC9A"/>
    <w:lvl w:ilvl="0" w:tentative="0">
      <w:start w:val="1"/>
      <w:numFmt w:val="decimal"/>
      <w:suff w:val="nothing"/>
      <w:lvlText w:val="%1．"/>
      <w:lvlJc w:val="left"/>
      <w:pPr>
        <w:ind w:left="0" w:firstLine="400"/>
      </w:pPr>
      <w:rPr>
        <w:rFonts w:hint="default"/>
      </w:rPr>
    </w:lvl>
  </w:abstractNum>
  <w:abstractNum w:abstractNumId="1">
    <w:nsid w:val="9A52A3D8"/>
    <w:multiLevelType w:val="singleLevel"/>
    <w:tmpl w:val="9A52A3D8"/>
    <w:lvl w:ilvl="0" w:tentative="0">
      <w:start w:val="1"/>
      <w:numFmt w:val="decimal"/>
      <w:suff w:val="nothing"/>
      <w:lvlText w:val="%1．"/>
      <w:lvlJc w:val="left"/>
      <w:pPr>
        <w:ind w:left="0" w:firstLine="400"/>
      </w:pPr>
      <w:rPr>
        <w:rFonts w:hint="default"/>
      </w:rPr>
    </w:lvl>
  </w:abstractNum>
  <w:abstractNum w:abstractNumId="2">
    <w:nsid w:val="A453E41B"/>
    <w:multiLevelType w:val="singleLevel"/>
    <w:tmpl w:val="A453E41B"/>
    <w:lvl w:ilvl="0" w:tentative="0">
      <w:start w:val="1"/>
      <w:numFmt w:val="decimal"/>
      <w:suff w:val="nothing"/>
      <w:lvlText w:val="%1．"/>
      <w:lvlJc w:val="left"/>
      <w:pPr>
        <w:ind w:left="0" w:firstLine="400"/>
      </w:pPr>
      <w:rPr>
        <w:rFonts w:hint="default"/>
      </w:rPr>
    </w:lvl>
  </w:abstractNum>
  <w:abstractNum w:abstractNumId="3">
    <w:nsid w:val="A5470A4A"/>
    <w:multiLevelType w:val="singleLevel"/>
    <w:tmpl w:val="A5470A4A"/>
    <w:lvl w:ilvl="0" w:tentative="0">
      <w:start w:val="1"/>
      <w:numFmt w:val="decimalEnclosedCircleChinese"/>
      <w:suff w:val="nothing"/>
      <w:lvlText w:val="%1　"/>
      <w:lvlJc w:val="left"/>
      <w:pPr>
        <w:ind w:left="0" w:firstLine="400"/>
      </w:pPr>
      <w:rPr>
        <w:rFonts w:hint="eastAsia"/>
      </w:rPr>
    </w:lvl>
  </w:abstractNum>
  <w:abstractNum w:abstractNumId="4">
    <w:nsid w:val="B10D3FAA"/>
    <w:multiLevelType w:val="singleLevel"/>
    <w:tmpl w:val="B10D3FAA"/>
    <w:lvl w:ilvl="0" w:tentative="0">
      <w:start w:val="1"/>
      <w:numFmt w:val="decimal"/>
      <w:lvlText w:val="(%1)"/>
      <w:lvlJc w:val="left"/>
      <w:pPr>
        <w:ind w:left="425" w:hanging="425"/>
      </w:pPr>
      <w:rPr>
        <w:rFonts w:hint="default"/>
      </w:rPr>
    </w:lvl>
  </w:abstractNum>
  <w:abstractNum w:abstractNumId="5">
    <w:nsid w:val="CC891AB6"/>
    <w:multiLevelType w:val="singleLevel"/>
    <w:tmpl w:val="CC891AB6"/>
    <w:lvl w:ilvl="0" w:tentative="0">
      <w:start w:val="1"/>
      <w:numFmt w:val="decimal"/>
      <w:suff w:val="nothing"/>
      <w:lvlText w:val="%1．"/>
      <w:lvlJc w:val="left"/>
      <w:pPr>
        <w:ind w:left="0" w:firstLine="400"/>
      </w:pPr>
      <w:rPr>
        <w:rFonts w:hint="default"/>
      </w:rPr>
    </w:lvl>
  </w:abstractNum>
  <w:abstractNum w:abstractNumId="6">
    <w:nsid w:val="CCC59CC6"/>
    <w:multiLevelType w:val="singleLevel"/>
    <w:tmpl w:val="CCC59CC6"/>
    <w:lvl w:ilvl="0" w:tentative="0">
      <w:start w:val="1"/>
      <w:numFmt w:val="chineseCounting"/>
      <w:suff w:val="nothing"/>
      <w:lvlText w:val="%1、"/>
      <w:lvlJc w:val="left"/>
      <w:pPr>
        <w:ind w:left="-420" w:firstLine="420"/>
      </w:pPr>
      <w:rPr>
        <w:rFonts w:hint="eastAsia"/>
      </w:rPr>
    </w:lvl>
  </w:abstractNum>
  <w:abstractNum w:abstractNumId="7">
    <w:nsid w:val="CFFFEA2B"/>
    <w:multiLevelType w:val="singleLevel"/>
    <w:tmpl w:val="CFFFEA2B"/>
    <w:lvl w:ilvl="0" w:tentative="0">
      <w:start w:val="1"/>
      <w:numFmt w:val="decimal"/>
      <w:suff w:val="nothing"/>
      <w:lvlText w:val="%1．"/>
      <w:lvlJc w:val="left"/>
      <w:pPr>
        <w:ind w:left="0" w:firstLine="400"/>
      </w:pPr>
      <w:rPr>
        <w:rFonts w:hint="default"/>
      </w:rPr>
    </w:lvl>
  </w:abstractNum>
  <w:abstractNum w:abstractNumId="8">
    <w:nsid w:val="D62E539E"/>
    <w:multiLevelType w:val="singleLevel"/>
    <w:tmpl w:val="D62E539E"/>
    <w:lvl w:ilvl="0" w:tentative="0">
      <w:start w:val="1"/>
      <w:numFmt w:val="chineseCounting"/>
      <w:suff w:val="nothing"/>
      <w:lvlText w:val="（%1）"/>
      <w:lvlJc w:val="left"/>
      <w:pPr>
        <w:ind w:left="0" w:firstLine="420"/>
      </w:pPr>
      <w:rPr>
        <w:rFonts w:hint="eastAsia"/>
      </w:rPr>
    </w:lvl>
  </w:abstractNum>
  <w:abstractNum w:abstractNumId="9">
    <w:nsid w:val="E138F419"/>
    <w:multiLevelType w:val="singleLevel"/>
    <w:tmpl w:val="E138F419"/>
    <w:lvl w:ilvl="0" w:tentative="0">
      <w:start w:val="1"/>
      <w:numFmt w:val="decimal"/>
      <w:lvlText w:val="(%1)"/>
      <w:lvlJc w:val="left"/>
      <w:pPr>
        <w:ind w:left="425" w:hanging="425"/>
      </w:pPr>
      <w:rPr>
        <w:rFonts w:hint="default"/>
      </w:rPr>
    </w:lvl>
  </w:abstractNum>
  <w:abstractNum w:abstractNumId="10">
    <w:nsid w:val="E78BB874"/>
    <w:multiLevelType w:val="singleLevel"/>
    <w:tmpl w:val="E78BB874"/>
    <w:lvl w:ilvl="0" w:tentative="0">
      <w:start w:val="1"/>
      <w:numFmt w:val="decimal"/>
      <w:lvlText w:val="%1."/>
      <w:lvlJc w:val="left"/>
      <w:pPr>
        <w:ind w:left="425" w:hanging="425"/>
      </w:pPr>
      <w:rPr>
        <w:rFonts w:hint="default"/>
      </w:rPr>
    </w:lvl>
  </w:abstractNum>
  <w:abstractNum w:abstractNumId="11">
    <w:nsid w:val="ED475EB4"/>
    <w:multiLevelType w:val="singleLevel"/>
    <w:tmpl w:val="ED475EB4"/>
    <w:lvl w:ilvl="0" w:tentative="0">
      <w:start w:val="1"/>
      <w:numFmt w:val="chineseCounting"/>
      <w:suff w:val="nothing"/>
      <w:lvlText w:val="%1、"/>
      <w:lvlJc w:val="left"/>
      <w:pPr>
        <w:ind w:left="-420" w:firstLine="420"/>
      </w:pPr>
      <w:rPr>
        <w:rFonts w:hint="eastAsia"/>
      </w:rPr>
    </w:lvl>
  </w:abstractNum>
  <w:abstractNum w:abstractNumId="12">
    <w:nsid w:val="3636C5C7"/>
    <w:multiLevelType w:val="singleLevel"/>
    <w:tmpl w:val="3636C5C7"/>
    <w:lvl w:ilvl="0" w:tentative="0">
      <w:start w:val="1"/>
      <w:numFmt w:val="decimal"/>
      <w:lvlText w:val="(%1)"/>
      <w:lvlJc w:val="left"/>
      <w:pPr>
        <w:ind w:left="425" w:hanging="425"/>
      </w:pPr>
      <w:rPr>
        <w:rFonts w:hint="default"/>
      </w:rPr>
    </w:lvl>
  </w:abstractNum>
  <w:abstractNum w:abstractNumId="13">
    <w:nsid w:val="458FC9F9"/>
    <w:multiLevelType w:val="singleLevel"/>
    <w:tmpl w:val="458FC9F9"/>
    <w:lvl w:ilvl="0" w:tentative="0">
      <w:start w:val="1"/>
      <w:numFmt w:val="chineseCounting"/>
      <w:suff w:val="nothing"/>
      <w:lvlText w:val="（%1）"/>
      <w:lvlJc w:val="left"/>
      <w:pPr>
        <w:ind w:left="0" w:firstLine="420"/>
      </w:pPr>
      <w:rPr>
        <w:rFonts w:hint="eastAsia"/>
      </w:rPr>
    </w:lvl>
  </w:abstractNum>
  <w:abstractNum w:abstractNumId="14">
    <w:nsid w:val="4835F41D"/>
    <w:multiLevelType w:val="singleLevel"/>
    <w:tmpl w:val="4835F41D"/>
    <w:lvl w:ilvl="0" w:tentative="0">
      <w:start w:val="1"/>
      <w:numFmt w:val="decimal"/>
      <w:lvlText w:val="%1."/>
      <w:lvlJc w:val="left"/>
      <w:pPr>
        <w:ind w:left="425" w:hanging="425"/>
      </w:pPr>
      <w:rPr>
        <w:rFonts w:hint="default"/>
      </w:rPr>
    </w:lvl>
  </w:abstractNum>
  <w:abstractNum w:abstractNumId="15">
    <w:nsid w:val="65D4F38F"/>
    <w:multiLevelType w:val="singleLevel"/>
    <w:tmpl w:val="65D4F38F"/>
    <w:lvl w:ilvl="0" w:tentative="0">
      <w:start w:val="1"/>
      <w:numFmt w:val="chineseCounting"/>
      <w:suff w:val="nothing"/>
      <w:lvlText w:val="%1、"/>
      <w:lvlJc w:val="left"/>
      <w:pPr>
        <w:ind w:left="0" w:firstLine="420"/>
      </w:pPr>
      <w:rPr>
        <w:rFonts w:hint="eastAsia"/>
      </w:rPr>
    </w:lvl>
  </w:abstractNum>
  <w:abstractNum w:abstractNumId="16">
    <w:nsid w:val="71EBB8CB"/>
    <w:multiLevelType w:val="singleLevel"/>
    <w:tmpl w:val="71EBB8CB"/>
    <w:lvl w:ilvl="0" w:tentative="0">
      <w:start w:val="1"/>
      <w:numFmt w:val="decimal"/>
      <w:lvlText w:val="%1."/>
      <w:lvlJc w:val="left"/>
      <w:pPr>
        <w:ind w:left="425" w:hanging="425"/>
      </w:pPr>
      <w:rPr>
        <w:rFonts w:hint="default"/>
      </w:rPr>
    </w:lvl>
  </w:abstractNum>
  <w:abstractNum w:abstractNumId="17">
    <w:nsid w:val="739578C8"/>
    <w:multiLevelType w:val="singleLevel"/>
    <w:tmpl w:val="739578C8"/>
    <w:lvl w:ilvl="0" w:tentative="0">
      <w:start w:val="1"/>
      <w:numFmt w:val="decimal"/>
      <w:suff w:val="nothing"/>
      <w:lvlText w:val="%1．"/>
      <w:lvlJc w:val="left"/>
      <w:pPr>
        <w:ind w:left="0" w:firstLine="400"/>
      </w:pPr>
      <w:rPr>
        <w:rFonts w:hint="default"/>
      </w:rPr>
    </w:lvl>
  </w:abstractNum>
  <w:abstractNum w:abstractNumId="18">
    <w:nsid w:val="77F87BC0"/>
    <w:multiLevelType w:val="singleLevel"/>
    <w:tmpl w:val="77F87BC0"/>
    <w:lvl w:ilvl="0" w:tentative="0">
      <w:start w:val="1"/>
      <w:numFmt w:val="decimal"/>
      <w:lvlText w:val="%1."/>
      <w:lvlJc w:val="left"/>
      <w:pPr>
        <w:ind w:left="425" w:hanging="425"/>
      </w:pPr>
      <w:rPr>
        <w:rFonts w:hint="default"/>
      </w:rPr>
    </w:lvl>
  </w:abstractNum>
  <w:num w:numId="1">
    <w:abstractNumId w:val="15"/>
  </w:num>
  <w:num w:numId="2">
    <w:abstractNumId w:val="13"/>
  </w:num>
  <w:num w:numId="3">
    <w:abstractNumId w:val="6"/>
  </w:num>
  <w:num w:numId="4">
    <w:abstractNumId w:val="18"/>
  </w:num>
  <w:num w:numId="5">
    <w:abstractNumId w:val="11"/>
  </w:num>
  <w:num w:numId="6">
    <w:abstractNumId w:val="8"/>
  </w:num>
  <w:num w:numId="7">
    <w:abstractNumId w:val="14"/>
  </w:num>
  <w:num w:numId="8">
    <w:abstractNumId w:val="4"/>
  </w:num>
  <w:num w:numId="9">
    <w:abstractNumId w:val="3"/>
  </w:num>
  <w:num w:numId="10">
    <w:abstractNumId w:val="10"/>
  </w:num>
  <w:num w:numId="11">
    <w:abstractNumId w:val="9"/>
  </w:num>
  <w:num w:numId="12">
    <w:abstractNumId w:val="16"/>
  </w:num>
  <w:num w:numId="13">
    <w:abstractNumId w:val="12"/>
  </w:num>
  <w:num w:numId="14">
    <w:abstractNumId w:val="1"/>
  </w:num>
  <w:num w:numId="15">
    <w:abstractNumId w:val="5"/>
  </w:num>
  <w:num w:numId="16">
    <w:abstractNumId w:val="2"/>
  </w:num>
  <w:num w:numId="17">
    <w:abstractNumId w:val="7"/>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2YyOWFmOTVjZWM5MGQ1NGUzMDM4MWY5NDI3YWYifQ=="/>
  </w:docVars>
  <w:rsids>
    <w:rsidRoot w:val="7FFE3D00"/>
    <w:rsid w:val="002052B6"/>
    <w:rsid w:val="0022431D"/>
    <w:rsid w:val="002A622B"/>
    <w:rsid w:val="004479E5"/>
    <w:rsid w:val="005978F9"/>
    <w:rsid w:val="00605907"/>
    <w:rsid w:val="00887A6C"/>
    <w:rsid w:val="00916E09"/>
    <w:rsid w:val="00DF6AA8"/>
    <w:rsid w:val="00E44683"/>
    <w:rsid w:val="00E86053"/>
    <w:rsid w:val="01BD35AB"/>
    <w:rsid w:val="06FF5C0C"/>
    <w:rsid w:val="07587B61"/>
    <w:rsid w:val="07AF7E3A"/>
    <w:rsid w:val="083E01AF"/>
    <w:rsid w:val="099270E3"/>
    <w:rsid w:val="0AEF7CFA"/>
    <w:rsid w:val="0C355241"/>
    <w:rsid w:val="0C4F4D65"/>
    <w:rsid w:val="0CE20630"/>
    <w:rsid w:val="0DEC35A3"/>
    <w:rsid w:val="0E1D7FBA"/>
    <w:rsid w:val="0E4B0A9A"/>
    <w:rsid w:val="10246EEB"/>
    <w:rsid w:val="12040D82"/>
    <w:rsid w:val="1231537A"/>
    <w:rsid w:val="12F23BC5"/>
    <w:rsid w:val="130A3724"/>
    <w:rsid w:val="143A1C4B"/>
    <w:rsid w:val="14943533"/>
    <w:rsid w:val="14C10999"/>
    <w:rsid w:val="14FA32EB"/>
    <w:rsid w:val="1615028C"/>
    <w:rsid w:val="17473167"/>
    <w:rsid w:val="1A7A28F6"/>
    <w:rsid w:val="1AC858AE"/>
    <w:rsid w:val="1C41607D"/>
    <w:rsid w:val="1CD163E1"/>
    <w:rsid w:val="1DFD79FA"/>
    <w:rsid w:val="1EF46A87"/>
    <w:rsid w:val="1F4C56EA"/>
    <w:rsid w:val="206D0331"/>
    <w:rsid w:val="222C39A3"/>
    <w:rsid w:val="229D32CF"/>
    <w:rsid w:val="22A021EC"/>
    <w:rsid w:val="24186FDB"/>
    <w:rsid w:val="242B219E"/>
    <w:rsid w:val="24CF1A0F"/>
    <w:rsid w:val="24E00C99"/>
    <w:rsid w:val="263B5962"/>
    <w:rsid w:val="2952480E"/>
    <w:rsid w:val="29D503D7"/>
    <w:rsid w:val="2AC878E3"/>
    <w:rsid w:val="2BDA101C"/>
    <w:rsid w:val="2D3C541C"/>
    <w:rsid w:val="2E2709E9"/>
    <w:rsid w:val="30062A77"/>
    <w:rsid w:val="306C55A4"/>
    <w:rsid w:val="32AF3608"/>
    <w:rsid w:val="33DE7E86"/>
    <w:rsid w:val="34A246FE"/>
    <w:rsid w:val="38EF420E"/>
    <w:rsid w:val="39610A00"/>
    <w:rsid w:val="39E95A7B"/>
    <w:rsid w:val="3C687D45"/>
    <w:rsid w:val="3DCF4D21"/>
    <w:rsid w:val="3E7C13F3"/>
    <w:rsid w:val="3EDD217E"/>
    <w:rsid w:val="3F144AD7"/>
    <w:rsid w:val="3F4F541A"/>
    <w:rsid w:val="3F511679"/>
    <w:rsid w:val="3FAE03FB"/>
    <w:rsid w:val="3FB47094"/>
    <w:rsid w:val="3FFC00D4"/>
    <w:rsid w:val="40185875"/>
    <w:rsid w:val="44927617"/>
    <w:rsid w:val="44E83BD5"/>
    <w:rsid w:val="4562415F"/>
    <w:rsid w:val="46852B6F"/>
    <w:rsid w:val="47723ABC"/>
    <w:rsid w:val="48AC1250"/>
    <w:rsid w:val="4AD81AA7"/>
    <w:rsid w:val="4ADF520B"/>
    <w:rsid w:val="4B05210B"/>
    <w:rsid w:val="4CEA3171"/>
    <w:rsid w:val="51366CE4"/>
    <w:rsid w:val="51406F97"/>
    <w:rsid w:val="52851C93"/>
    <w:rsid w:val="52DF638C"/>
    <w:rsid w:val="54EC5896"/>
    <w:rsid w:val="573E1204"/>
    <w:rsid w:val="574A7E69"/>
    <w:rsid w:val="58DA65C9"/>
    <w:rsid w:val="5A117165"/>
    <w:rsid w:val="5A336B14"/>
    <w:rsid w:val="5A580127"/>
    <w:rsid w:val="5AB22677"/>
    <w:rsid w:val="5AB92234"/>
    <w:rsid w:val="5E425B9F"/>
    <w:rsid w:val="5EA343E7"/>
    <w:rsid w:val="5EB420C5"/>
    <w:rsid w:val="5F906189"/>
    <w:rsid w:val="5FAC6D52"/>
    <w:rsid w:val="5FB93585"/>
    <w:rsid w:val="617A7CE6"/>
    <w:rsid w:val="624E35CB"/>
    <w:rsid w:val="626D784A"/>
    <w:rsid w:val="62A52AF0"/>
    <w:rsid w:val="634840A0"/>
    <w:rsid w:val="63C31C8E"/>
    <w:rsid w:val="63D90F55"/>
    <w:rsid w:val="642B29FA"/>
    <w:rsid w:val="65280567"/>
    <w:rsid w:val="65D81E36"/>
    <w:rsid w:val="67B21A5C"/>
    <w:rsid w:val="67DA074E"/>
    <w:rsid w:val="68506559"/>
    <w:rsid w:val="6D194857"/>
    <w:rsid w:val="6D68758C"/>
    <w:rsid w:val="6FBB2046"/>
    <w:rsid w:val="6FD40D0F"/>
    <w:rsid w:val="709F1E24"/>
    <w:rsid w:val="727919E8"/>
    <w:rsid w:val="75DF4884"/>
    <w:rsid w:val="7B1C33D1"/>
    <w:rsid w:val="7B2B24CE"/>
    <w:rsid w:val="7BB265A2"/>
    <w:rsid w:val="7CC71B7B"/>
    <w:rsid w:val="7DCD049F"/>
    <w:rsid w:val="7FFE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link w:val="1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link w:val="3"/>
    <w:autoRedefine/>
    <w:qFormat/>
    <w:uiPriority w:val="0"/>
    <w:rPr>
      <w:rFonts w:ascii="Arial" w:hAnsi="Arial" w:eastAsia="黑体"/>
      <w:b/>
      <w:sz w:val="32"/>
    </w:rPr>
  </w:style>
  <w:style w:type="table" w:customStyle="1" w:styleId="12">
    <w:name w:val="浅色底纹1"/>
    <w:basedOn w:val="8"/>
    <w:autoRedefine/>
    <w:qFormat/>
    <w:uiPriority w:val="60"/>
    <w:rPr>
      <w:rFonts w:asciiTheme="minorHAnsi" w:hAnsiTheme="minorHAnsi" w:eastAsiaTheme="minorEastAsia" w:cstheme="minorBidi"/>
      <w:color w:val="000000" w:themeColor="text1" w:themeShade="BF"/>
      <w:kern w:val="2"/>
      <w:sz w:val="21"/>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3">
    <w:name w:val="WPSOffice手动目录 1"/>
    <w:autoRedefine/>
    <w:qFormat/>
    <w:uiPriority w:val="0"/>
    <w:pPr>
      <w:tabs>
        <w:tab w:val="right" w:leader="dot" w:pos="8306"/>
      </w:tabs>
      <w:spacing w:line="360" w:lineRule="auto"/>
    </w:pPr>
    <w:rPr>
      <w:rFonts w:ascii="Times New Roman" w:hAnsi="Times New Roman" w:eastAsia="宋体" w:cs="Times New Roman"/>
      <w:lang w:val="en-US" w:eastAsia="zh-CN" w:bidi="ar-SA"/>
    </w:rPr>
  </w:style>
  <w:style w:type="paragraph" w:customStyle="1" w:styleId="14">
    <w:name w:val="WPSOffice手动目录 2"/>
    <w:autoRedefine/>
    <w:uiPriority w:val="0"/>
    <w:pPr>
      <w:ind w:left="200" w:leftChars="200"/>
    </w:pPr>
    <w:rPr>
      <w:rFonts w:ascii="Times New Roman" w:hAnsi="Times New Roman" w:eastAsia="宋体" w:cs="Times New Roman"/>
      <w:lang w:val="en-US" w:eastAsia="zh-CN" w:bidi="ar-SA"/>
    </w:rPr>
  </w:style>
  <w:style w:type="character" w:customStyle="1" w:styleId="15">
    <w:name w:val="页眉 字符"/>
    <w:basedOn w:val="10"/>
    <w:link w:val="7"/>
    <w:autoRedefine/>
    <w:qFormat/>
    <w:uiPriority w:val="0"/>
    <w:rPr>
      <w:rFonts w:asciiTheme="minorHAnsi" w:hAnsiTheme="minorHAnsi" w:eastAsiaTheme="minorEastAsia" w:cstheme="minorBidi"/>
      <w:kern w:val="2"/>
      <w:sz w:val="18"/>
      <w:szCs w:val="18"/>
    </w:rPr>
  </w:style>
  <w:style w:type="character" w:customStyle="1" w:styleId="16">
    <w:name w:val="页脚 字符"/>
    <w:basedOn w:val="10"/>
    <w:link w:val="6"/>
    <w:autoRedefine/>
    <w:qFormat/>
    <w:uiPriority w:val="99"/>
    <w:rPr>
      <w:rFonts w:asciiTheme="minorHAnsi" w:hAnsiTheme="minorHAnsi" w:eastAsiaTheme="minorEastAsia" w:cstheme="minorBidi"/>
      <w:kern w:val="2"/>
      <w:sz w:val="18"/>
      <w:szCs w:val="18"/>
    </w:rPr>
  </w:style>
  <w:style w:type="character" w:customStyle="1" w:styleId="17">
    <w:name w:val="批注框文本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31D4-653C-4317-A7A7-DE201B31D0A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24</Pages>
  <Words>1980</Words>
  <Characters>11292</Characters>
  <Lines>94</Lines>
  <Paragraphs>26</Paragraphs>
  <TotalTime>0</TotalTime>
  <ScaleCrop>false</ScaleCrop>
  <LinksUpToDate>false</LinksUpToDate>
  <CharactersWithSpaces>13246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2024-03-03T11:41:00Z</dcterms:created>
  <dc:creator>陈琪</dc:creator>
  <cp:lastModifiedBy>莫莫</cp:lastModifiedBy>
  <cp:lastPrinted>2024-03-20T08:52:00Z</cp:lastPrinted>
  <dcterms:modified xsi:type="dcterms:W3CDTF">2024-04-08T01:24:17Z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6172F82AD8E946A08C011F7F8AA91708_11</vt:lpwstr>
  </property>
</Properties>
</file>