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cs="黑体"/>
          <w:b/>
          <w:bCs/>
          <w:sz w:val="36"/>
          <w:szCs w:val="36"/>
        </w:rPr>
      </w:pPr>
    </w:p>
    <w:p>
      <w:pPr>
        <w:pStyle w:val="2"/>
        <w:jc w:val="center"/>
        <w:rPr>
          <w:sz w:val="72"/>
        </w:rPr>
      </w:pPr>
      <w:r>
        <w:rPr>
          <w:rFonts w:hint="eastAsia"/>
          <w:sz w:val="56"/>
        </w:rPr>
        <w:t>福建省肿瘤医院</w:t>
      </w:r>
      <w:r>
        <w:rPr>
          <w:rFonts w:hint="eastAsia"/>
          <w:sz w:val="56"/>
          <w:lang w:val="en-US" w:eastAsia="zh-CN"/>
        </w:rPr>
        <w:t>超声</w:t>
      </w:r>
      <w:r>
        <w:rPr>
          <w:rFonts w:hint="eastAsia"/>
          <w:sz w:val="56"/>
        </w:rPr>
        <w:t>科</w:t>
      </w:r>
    </w:p>
    <w:p>
      <w:pPr>
        <w:pStyle w:val="2"/>
        <w:jc w:val="center"/>
        <w:rPr>
          <w:sz w:val="56"/>
        </w:rPr>
      </w:pPr>
      <w:r>
        <w:rPr>
          <w:rFonts w:hint="eastAsia"/>
          <w:sz w:val="56"/>
        </w:rPr>
        <w:t>进修生培养计划</w:t>
      </w:r>
    </w:p>
    <w:p>
      <w:pPr>
        <w:pStyle w:val="15"/>
        <w:tabs>
          <w:tab w:val="right" w:leader="dot" w:pos="8306"/>
        </w:tabs>
        <w:jc w:val="center"/>
        <w:rPr>
          <w:rFonts w:ascii="黑体" w:hAnsi="黑体" w:eastAsia="黑体" w:cs="黑体"/>
          <w:sz w:val="30"/>
          <w:szCs w:val="30"/>
        </w:rPr>
      </w:pPr>
    </w:p>
    <w:p>
      <w:pPr>
        <w:pStyle w:val="15"/>
        <w:tabs>
          <w:tab w:val="right" w:leader="dot" w:pos="8306"/>
        </w:tabs>
        <w:jc w:val="center"/>
        <w:rPr>
          <w:rFonts w:ascii="黑体" w:hAnsi="黑体" w:eastAsia="黑体" w:cs="黑体"/>
          <w:sz w:val="36"/>
          <w:szCs w:val="36"/>
        </w:rPr>
      </w:pPr>
      <w:r>
        <w:rPr>
          <w:rFonts w:hint="eastAsia" w:ascii="黑体" w:hAnsi="黑体" w:eastAsia="黑体" w:cs="黑体"/>
          <w:sz w:val="36"/>
          <w:szCs w:val="36"/>
        </w:rPr>
        <w:t>目</w:t>
      </w:r>
      <w:r>
        <w:rPr>
          <w:rFonts w:ascii="黑体" w:hAnsi="黑体" w:eastAsia="黑体" w:cs="黑体"/>
          <w:sz w:val="36"/>
          <w:szCs w:val="36"/>
        </w:rPr>
        <w:t xml:space="preserve">    </w:t>
      </w:r>
      <w:r>
        <w:rPr>
          <w:rFonts w:hint="eastAsia" w:ascii="黑体" w:hAnsi="黑体" w:eastAsia="黑体" w:cs="黑体"/>
          <w:sz w:val="36"/>
          <w:szCs w:val="36"/>
        </w:rPr>
        <w:t>录</w:t>
      </w:r>
    </w:p>
    <w:p>
      <w:pPr>
        <w:rPr>
          <w:rFonts w:ascii="宋体"/>
          <w:sz w:val="28"/>
          <w:szCs w:val="28"/>
        </w:rPr>
      </w:pPr>
    </w:p>
    <w:p>
      <w:pPr>
        <w:pStyle w:val="15"/>
        <w:tabs>
          <w:tab w:val="right" w:leader="dot" w:pos="8296"/>
        </w:tabs>
        <w:ind w:left="0" w:leftChars="0"/>
        <w:rPr>
          <w:rFonts w:ascii="宋体"/>
          <w:sz w:val="28"/>
          <w:szCs w:val="28"/>
        </w:rPr>
      </w:pPr>
      <w:r>
        <w:rPr>
          <w:rFonts w:ascii="宋体" w:hAnsi="宋体" w:cs="宋体"/>
          <w:sz w:val="28"/>
          <w:szCs w:val="28"/>
        </w:rPr>
        <w:fldChar w:fldCharType="begin"/>
      </w:r>
      <w:r>
        <w:rPr>
          <w:rFonts w:ascii="宋体" w:hAnsi="宋体" w:cs="宋体"/>
          <w:sz w:val="28"/>
          <w:szCs w:val="28"/>
        </w:rPr>
        <w:instrText xml:space="preserve">TOC \o "1-3" \h \u </w:instrText>
      </w:r>
      <w:r>
        <w:rPr>
          <w:rFonts w:ascii="宋体" w:hAnsi="宋体" w:cs="宋体"/>
          <w:sz w:val="28"/>
          <w:szCs w:val="28"/>
        </w:rPr>
        <w:fldChar w:fldCharType="separate"/>
      </w:r>
      <w:r>
        <w:fldChar w:fldCharType="begin"/>
      </w:r>
      <w:r>
        <w:instrText xml:space="preserve"> HYPERLINK \l "_Toc501191606" </w:instrText>
      </w:r>
      <w:r>
        <w:fldChar w:fldCharType="separate"/>
      </w:r>
      <w:r>
        <w:rPr>
          <w:rStyle w:val="20"/>
          <w:rFonts w:hint="eastAsia" w:ascii="宋体" w:hAnsi="宋体"/>
          <w:color w:val="auto"/>
          <w:sz w:val="28"/>
          <w:szCs w:val="28"/>
        </w:rPr>
        <w:t>科室特色：</w:t>
      </w:r>
      <w:r>
        <w:rPr>
          <w:rFonts w:ascii="宋体"/>
          <w:sz w:val="28"/>
          <w:szCs w:val="28"/>
        </w:rPr>
        <w:tab/>
      </w:r>
      <w:r>
        <w:rPr>
          <w:rFonts w:ascii="宋体" w:hAnsi="宋体"/>
          <w:sz w:val="28"/>
          <w:szCs w:val="28"/>
        </w:rPr>
        <w:fldChar w:fldCharType="begin"/>
      </w:r>
      <w:r>
        <w:rPr>
          <w:rFonts w:ascii="宋体" w:hAnsi="宋体"/>
          <w:sz w:val="28"/>
          <w:szCs w:val="28"/>
        </w:rPr>
        <w:instrText xml:space="preserve"> PAGEREF _Toc501191606 \h </w:instrText>
      </w:r>
      <w:r>
        <w:rPr>
          <w:rFonts w:ascii="宋体" w:hAnsi="宋体"/>
          <w:sz w:val="28"/>
          <w:szCs w:val="28"/>
        </w:rPr>
        <w:fldChar w:fldCharType="separate"/>
      </w:r>
      <w:r>
        <w:rPr>
          <w:rFonts w:ascii="宋体" w:hAnsi="宋体"/>
          <w:sz w:val="28"/>
          <w:szCs w:val="28"/>
        </w:rPr>
        <w:t>2</w:t>
      </w:r>
      <w:r>
        <w:rPr>
          <w:rFonts w:ascii="宋体" w:hAnsi="宋体"/>
          <w:sz w:val="28"/>
          <w:szCs w:val="28"/>
        </w:rPr>
        <w:fldChar w:fldCharType="end"/>
      </w:r>
      <w:r>
        <w:rPr>
          <w:rFonts w:ascii="宋体" w:hAnsi="宋体"/>
          <w:sz w:val="28"/>
          <w:szCs w:val="28"/>
        </w:rPr>
        <w:fldChar w:fldCharType="end"/>
      </w:r>
    </w:p>
    <w:p>
      <w:pPr>
        <w:pStyle w:val="12"/>
        <w:tabs>
          <w:tab w:val="right" w:leader="dot" w:pos="8296"/>
        </w:tabs>
        <w:rPr>
          <w:rFonts w:ascii="宋体"/>
          <w:sz w:val="28"/>
          <w:szCs w:val="28"/>
        </w:rPr>
      </w:pPr>
      <w:r>
        <w:fldChar w:fldCharType="begin"/>
      </w:r>
      <w:r>
        <w:instrText xml:space="preserve"> HYPERLINK \l "_Toc501191607" </w:instrText>
      </w:r>
      <w:r>
        <w:fldChar w:fldCharType="separate"/>
      </w:r>
      <w:r>
        <w:rPr>
          <w:rStyle w:val="20"/>
          <w:rFonts w:hint="eastAsia" w:ascii="宋体" w:hAnsi="宋体" w:cs="黑体"/>
          <w:color w:val="auto"/>
          <w:sz w:val="28"/>
          <w:szCs w:val="28"/>
        </w:rPr>
        <w:t>科室带教老师简介：</w:t>
      </w:r>
      <w:r>
        <w:rPr>
          <w:rFonts w:ascii="宋体"/>
          <w:sz w:val="28"/>
          <w:szCs w:val="28"/>
        </w:rPr>
        <w:tab/>
      </w:r>
      <w:r>
        <w:rPr>
          <w:rFonts w:ascii="宋体" w:hAnsi="宋体"/>
          <w:sz w:val="28"/>
          <w:szCs w:val="28"/>
        </w:rPr>
        <w:fldChar w:fldCharType="begin"/>
      </w:r>
      <w:r>
        <w:rPr>
          <w:rFonts w:ascii="宋体" w:hAnsi="宋体"/>
          <w:sz w:val="28"/>
          <w:szCs w:val="28"/>
        </w:rPr>
        <w:instrText xml:space="preserve"> PAGEREF _Toc501191607 \h </w:instrText>
      </w:r>
      <w:r>
        <w:rPr>
          <w:rFonts w:ascii="宋体" w:hAnsi="宋体"/>
          <w:sz w:val="28"/>
          <w:szCs w:val="28"/>
        </w:rPr>
        <w:fldChar w:fldCharType="separate"/>
      </w:r>
      <w:r>
        <w:rPr>
          <w:rFonts w:ascii="宋体" w:hAnsi="宋体"/>
          <w:sz w:val="28"/>
          <w:szCs w:val="28"/>
        </w:rPr>
        <w:t>3</w:t>
      </w:r>
      <w:r>
        <w:rPr>
          <w:rFonts w:ascii="宋体" w:hAnsi="宋体"/>
          <w:sz w:val="28"/>
          <w:szCs w:val="28"/>
        </w:rPr>
        <w:fldChar w:fldCharType="end"/>
      </w:r>
      <w:r>
        <w:rPr>
          <w:rFonts w:ascii="宋体" w:hAnsi="宋体"/>
          <w:sz w:val="28"/>
          <w:szCs w:val="28"/>
        </w:rPr>
        <w:fldChar w:fldCharType="end"/>
      </w:r>
    </w:p>
    <w:p>
      <w:pPr>
        <w:pStyle w:val="12"/>
        <w:tabs>
          <w:tab w:val="right" w:leader="dot" w:pos="8296"/>
        </w:tabs>
        <w:rPr>
          <w:rFonts w:ascii="宋体"/>
          <w:sz w:val="28"/>
          <w:szCs w:val="28"/>
        </w:rPr>
      </w:pPr>
      <w:r>
        <w:fldChar w:fldCharType="begin"/>
      </w:r>
      <w:r>
        <w:instrText xml:space="preserve"> HYPERLINK \l "_Toc501191608" </w:instrText>
      </w:r>
      <w:r>
        <w:fldChar w:fldCharType="separate"/>
      </w:r>
      <w:r>
        <w:rPr>
          <w:rStyle w:val="20"/>
          <w:rFonts w:hint="eastAsia" w:ascii="宋体" w:hAnsi="宋体" w:cs="黑体"/>
          <w:color w:val="auto"/>
          <w:sz w:val="28"/>
          <w:szCs w:val="28"/>
        </w:rPr>
        <w:t>进修生招收要求：</w:t>
      </w:r>
      <w:r>
        <w:rPr>
          <w:rFonts w:ascii="宋体"/>
          <w:sz w:val="28"/>
          <w:szCs w:val="28"/>
        </w:rPr>
        <w:tab/>
      </w:r>
      <w:r>
        <w:rPr>
          <w:rFonts w:ascii="宋体" w:hAnsi="宋体"/>
          <w:sz w:val="28"/>
          <w:szCs w:val="28"/>
        </w:rPr>
        <w:fldChar w:fldCharType="begin"/>
      </w:r>
      <w:r>
        <w:rPr>
          <w:rFonts w:ascii="宋体" w:hAnsi="宋体"/>
          <w:sz w:val="28"/>
          <w:szCs w:val="28"/>
        </w:rPr>
        <w:instrText xml:space="preserve"> PAGEREF _Toc501191608 \h </w:instrText>
      </w:r>
      <w:r>
        <w:rPr>
          <w:rFonts w:ascii="宋体" w:hAnsi="宋体"/>
          <w:sz w:val="28"/>
          <w:szCs w:val="28"/>
        </w:rPr>
        <w:fldChar w:fldCharType="separate"/>
      </w:r>
      <w:r>
        <w:rPr>
          <w:rFonts w:ascii="宋体" w:hAnsi="宋体"/>
          <w:sz w:val="28"/>
          <w:szCs w:val="28"/>
        </w:rPr>
        <w:t>4</w:t>
      </w:r>
      <w:r>
        <w:rPr>
          <w:rFonts w:ascii="宋体" w:hAnsi="宋体"/>
          <w:sz w:val="28"/>
          <w:szCs w:val="28"/>
        </w:rPr>
        <w:fldChar w:fldCharType="end"/>
      </w:r>
      <w:r>
        <w:rPr>
          <w:rFonts w:ascii="宋体" w:hAnsi="宋体"/>
          <w:sz w:val="28"/>
          <w:szCs w:val="28"/>
        </w:rPr>
        <w:fldChar w:fldCharType="end"/>
      </w:r>
    </w:p>
    <w:p>
      <w:pPr>
        <w:pStyle w:val="12"/>
        <w:tabs>
          <w:tab w:val="right" w:leader="dot" w:pos="8296"/>
        </w:tabs>
        <w:rPr>
          <w:rFonts w:ascii="宋体"/>
          <w:sz w:val="28"/>
          <w:szCs w:val="28"/>
        </w:rPr>
      </w:pPr>
      <w:r>
        <w:fldChar w:fldCharType="begin"/>
      </w:r>
      <w:r>
        <w:instrText xml:space="preserve"> HYPERLINK \l "_Toc501191609" </w:instrText>
      </w:r>
      <w:r>
        <w:fldChar w:fldCharType="separate"/>
      </w:r>
      <w:r>
        <w:rPr>
          <w:rStyle w:val="20"/>
          <w:rFonts w:hint="eastAsia" w:ascii="宋体" w:hAnsi="宋体" w:cs="黑体"/>
          <w:color w:val="auto"/>
          <w:sz w:val="28"/>
          <w:szCs w:val="28"/>
        </w:rPr>
        <w:t>进修生培养方案：</w:t>
      </w:r>
      <w:r>
        <w:rPr>
          <w:rFonts w:ascii="宋体"/>
          <w:sz w:val="28"/>
          <w:szCs w:val="28"/>
        </w:rPr>
        <w:tab/>
      </w:r>
      <w:r>
        <w:rPr>
          <w:rFonts w:ascii="宋体" w:hAnsi="宋体"/>
          <w:sz w:val="28"/>
          <w:szCs w:val="28"/>
        </w:rPr>
        <w:fldChar w:fldCharType="begin"/>
      </w:r>
      <w:r>
        <w:rPr>
          <w:rFonts w:ascii="宋体" w:hAnsi="宋体"/>
          <w:sz w:val="28"/>
          <w:szCs w:val="28"/>
        </w:rPr>
        <w:instrText xml:space="preserve"> PAGEREF _Toc501191609 \h </w:instrText>
      </w:r>
      <w:r>
        <w:rPr>
          <w:rFonts w:ascii="宋体" w:hAnsi="宋体"/>
          <w:sz w:val="28"/>
          <w:szCs w:val="28"/>
        </w:rPr>
        <w:fldChar w:fldCharType="separate"/>
      </w:r>
      <w:r>
        <w:rPr>
          <w:rFonts w:ascii="宋体" w:hAnsi="宋体"/>
          <w:sz w:val="28"/>
          <w:szCs w:val="28"/>
        </w:rPr>
        <w:t>4</w:t>
      </w:r>
      <w:r>
        <w:rPr>
          <w:rFonts w:ascii="宋体" w:hAnsi="宋体"/>
          <w:sz w:val="28"/>
          <w:szCs w:val="28"/>
        </w:rPr>
        <w:fldChar w:fldCharType="end"/>
      </w:r>
      <w:r>
        <w:rPr>
          <w:rFonts w:ascii="宋体" w:hAnsi="宋体"/>
          <w:sz w:val="28"/>
          <w:szCs w:val="28"/>
        </w:rPr>
        <w:fldChar w:fldCharType="end"/>
      </w:r>
    </w:p>
    <w:p>
      <w:pPr>
        <w:pStyle w:val="12"/>
        <w:tabs>
          <w:tab w:val="right" w:leader="dot" w:pos="8296"/>
        </w:tabs>
        <w:rPr>
          <w:rFonts w:ascii="宋体"/>
          <w:sz w:val="28"/>
          <w:szCs w:val="28"/>
        </w:rPr>
      </w:pPr>
      <w:r>
        <w:fldChar w:fldCharType="begin"/>
      </w:r>
      <w:r>
        <w:instrText xml:space="preserve"> HYPERLINK \l "_Toc501191610" </w:instrText>
      </w:r>
      <w:r>
        <w:fldChar w:fldCharType="separate"/>
      </w:r>
      <w:r>
        <w:rPr>
          <w:rStyle w:val="20"/>
          <w:rFonts w:hint="eastAsia" w:ascii="宋体" w:hAnsi="宋体" w:cs="黑体"/>
          <w:color w:val="auto"/>
          <w:sz w:val="28"/>
          <w:szCs w:val="28"/>
        </w:rPr>
        <w:t>进修生培养计划：</w:t>
      </w:r>
      <w:r>
        <w:rPr>
          <w:rFonts w:ascii="宋体"/>
          <w:sz w:val="28"/>
          <w:szCs w:val="28"/>
        </w:rPr>
        <w:tab/>
      </w:r>
      <w:r>
        <w:rPr>
          <w:rFonts w:ascii="宋体" w:hAnsi="宋体"/>
          <w:sz w:val="28"/>
          <w:szCs w:val="28"/>
        </w:rPr>
        <w:fldChar w:fldCharType="begin"/>
      </w:r>
      <w:r>
        <w:rPr>
          <w:rFonts w:ascii="宋体" w:hAnsi="宋体"/>
          <w:sz w:val="28"/>
          <w:szCs w:val="28"/>
        </w:rPr>
        <w:instrText xml:space="preserve"> PAGEREF _Toc501191610 \h </w:instrText>
      </w:r>
      <w:r>
        <w:rPr>
          <w:rFonts w:ascii="宋体" w:hAnsi="宋体"/>
          <w:sz w:val="28"/>
          <w:szCs w:val="28"/>
        </w:rPr>
        <w:fldChar w:fldCharType="separate"/>
      </w:r>
      <w:r>
        <w:rPr>
          <w:rFonts w:ascii="宋体" w:hAnsi="宋体"/>
          <w:sz w:val="28"/>
          <w:szCs w:val="28"/>
        </w:rPr>
        <w:t>8</w:t>
      </w:r>
      <w:r>
        <w:rPr>
          <w:rFonts w:ascii="宋体" w:hAnsi="宋体"/>
          <w:sz w:val="28"/>
          <w:szCs w:val="28"/>
        </w:rPr>
        <w:fldChar w:fldCharType="end"/>
      </w:r>
      <w:r>
        <w:rPr>
          <w:rFonts w:ascii="宋体" w:hAnsi="宋体"/>
          <w:sz w:val="28"/>
          <w:szCs w:val="28"/>
        </w:rPr>
        <w:fldChar w:fldCharType="end"/>
      </w:r>
    </w:p>
    <w:p>
      <w:pPr>
        <w:pStyle w:val="15"/>
        <w:tabs>
          <w:tab w:val="right" w:leader="dot" w:pos="8296"/>
        </w:tabs>
        <w:rPr>
          <w:rFonts w:ascii="宋体"/>
          <w:sz w:val="28"/>
          <w:szCs w:val="28"/>
        </w:rPr>
      </w:pPr>
      <w:r>
        <w:fldChar w:fldCharType="begin"/>
      </w:r>
      <w:r>
        <w:instrText xml:space="preserve"> HYPERLINK \l "_Toc501191611" </w:instrText>
      </w:r>
      <w:r>
        <w:fldChar w:fldCharType="separate"/>
      </w:r>
      <w:r>
        <w:rPr>
          <w:rStyle w:val="20"/>
          <w:rFonts w:hint="eastAsia" w:ascii="宋体" w:hAnsi="宋体" w:cs="宋体"/>
          <w:color w:val="auto"/>
          <w:sz w:val="28"/>
          <w:szCs w:val="28"/>
        </w:rPr>
        <w:t>一、</w:t>
      </w:r>
      <w:r>
        <w:rPr>
          <w:rStyle w:val="20"/>
          <w:rFonts w:ascii="宋体" w:hAnsi="宋体" w:cs="宋体"/>
          <w:color w:val="auto"/>
          <w:sz w:val="28"/>
          <w:szCs w:val="28"/>
        </w:rPr>
        <w:t xml:space="preserve"> </w:t>
      </w:r>
      <w:r>
        <w:rPr>
          <w:rStyle w:val="20"/>
          <w:rFonts w:hint="eastAsia" w:ascii="宋体" w:hAnsi="宋体" w:cs="宋体"/>
          <w:color w:val="auto"/>
          <w:sz w:val="28"/>
          <w:szCs w:val="28"/>
        </w:rPr>
        <w:t>入科教育</w:t>
      </w:r>
      <w:r>
        <w:rPr>
          <w:rFonts w:ascii="宋体"/>
          <w:sz w:val="28"/>
          <w:szCs w:val="28"/>
        </w:rPr>
        <w:tab/>
      </w:r>
      <w:r>
        <w:rPr>
          <w:rFonts w:ascii="宋体" w:hAnsi="宋体"/>
          <w:sz w:val="28"/>
          <w:szCs w:val="28"/>
        </w:rPr>
        <w:fldChar w:fldCharType="begin"/>
      </w:r>
      <w:r>
        <w:rPr>
          <w:rFonts w:ascii="宋体" w:hAnsi="宋体"/>
          <w:sz w:val="28"/>
          <w:szCs w:val="28"/>
        </w:rPr>
        <w:instrText xml:space="preserve"> PAGEREF _Toc501191611 \h </w:instrText>
      </w:r>
      <w:r>
        <w:rPr>
          <w:rFonts w:ascii="宋体" w:hAnsi="宋体"/>
          <w:sz w:val="28"/>
          <w:szCs w:val="28"/>
        </w:rPr>
        <w:fldChar w:fldCharType="separate"/>
      </w:r>
      <w:r>
        <w:rPr>
          <w:rFonts w:ascii="宋体" w:hAnsi="宋体"/>
          <w:sz w:val="28"/>
          <w:szCs w:val="28"/>
        </w:rPr>
        <w:t>8</w:t>
      </w:r>
      <w:r>
        <w:rPr>
          <w:rFonts w:ascii="宋体" w:hAnsi="宋体"/>
          <w:sz w:val="28"/>
          <w:szCs w:val="28"/>
        </w:rPr>
        <w:fldChar w:fldCharType="end"/>
      </w:r>
      <w:r>
        <w:rPr>
          <w:rFonts w:ascii="宋体" w:hAnsi="宋体"/>
          <w:sz w:val="28"/>
          <w:szCs w:val="28"/>
        </w:rPr>
        <w:fldChar w:fldCharType="end"/>
      </w:r>
    </w:p>
    <w:p>
      <w:pPr>
        <w:pStyle w:val="15"/>
        <w:tabs>
          <w:tab w:val="right" w:leader="dot" w:pos="8296"/>
        </w:tabs>
        <w:rPr>
          <w:rFonts w:ascii="宋体"/>
          <w:sz w:val="28"/>
          <w:szCs w:val="28"/>
        </w:rPr>
      </w:pPr>
      <w:r>
        <w:fldChar w:fldCharType="begin"/>
      </w:r>
      <w:r>
        <w:instrText xml:space="preserve"> HYPERLINK \l "_Toc501191612" </w:instrText>
      </w:r>
      <w:r>
        <w:fldChar w:fldCharType="separate"/>
      </w:r>
      <w:r>
        <w:rPr>
          <w:rStyle w:val="20"/>
          <w:rFonts w:hint="eastAsia" w:ascii="宋体" w:hAnsi="宋体" w:cs="宋体"/>
          <w:color w:val="auto"/>
          <w:sz w:val="28"/>
          <w:szCs w:val="28"/>
        </w:rPr>
        <w:t>二、</w:t>
      </w:r>
      <w:r>
        <w:rPr>
          <w:rStyle w:val="20"/>
          <w:rFonts w:ascii="宋体" w:hAnsi="宋体" w:cs="宋体"/>
          <w:color w:val="auto"/>
          <w:sz w:val="28"/>
          <w:szCs w:val="28"/>
        </w:rPr>
        <w:t xml:space="preserve"> </w:t>
      </w:r>
      <w:r>
        <w:rPr>
          <w:rStyle w:val="20"/>
          <w:rFonts w:hint="eastAsia" w:ascii="宋体" w:hAnsi="宋体" w:cs="宋体"/>
          <w:color w:val="auto"/>
          <w:sz w:val="28"/>
          <w:szCs w:val="28"/>
        </w:rPr>
        <w:t>考勤管理</w:t>
      </w:r>
      <w:r>
        <w:rPr>
          <w:rFonts w:ascii="宋体"/>
          <w:sz w:val="28"/>
          <w:szCs w:val="28"/>
        </w:rPr>
        <w:tab/>
      </w:r>
      <w:r>
        <w:rPr>
          <w:rFonts w:ascii="宋体" w:hAnsi="宋体"/>
          <w:sz w:val="28"/>
          <w:szCs w:val="28"/>
        </w:rPr>
        <w:fldChar w:fldCharType="begin"/>
      </w:r>
      <w:r>
        <w:rPr>
          <w:rFonts w:ascii="宋体" w:hAnsi="宋体"/>
          <w:sz w:val="28"/>
          <w:szCs w:val="28"/>
        </w:rPr>
        <w:instrText xml:space="preserve"> PAGEREF _Toc501191612 \h </w:instrText>
      </w:r>
      <w:r>
        <w:rPr>
          <w:rFonts w:ascii="宋体" w:hAnsi="宋体"/>
          <w:sz w:val="28"/>
          <w:szCs w:val="28"/>
        </w:rPr>
        <w:fldChar w:fldCharType="separate"/>
      </w:r>
      <w:r>
        <w:rPr>
          <w:rFonts w:ascii="宋体" w:hAnsi="宋体"/>
          <w:sz w:val="28"/>
          <w:szCs w:val="28"/>
        </w:rPr>
        <w:t>8</w:t>
      </w:r>
      <w:r>
        <w:rPr>
          <w:rFonts w:ascii="宋体" w:hAnsi="宋体"/>
          <w:sz w:val="28"/>
          <w:szCs w:val="28"/>
        </w:rPr>
        <w:fldChar w:fldCharType="end"/>
      </w:r>
      <w:r>
        <w:rPr>
          <w:rFonts w:ascii="宋体" w:hAnsi="宋体"/>
          <w:sz w:val="28"/>
          <w:szCs w:val="28"/>
        </w:rPr>
        <w:fldChar w:fldCharType="end"/>
      </w:r>
    </w:p>
    <w:p>
      <w:pPr>
        <w:pStyle w:val="15"/>
        <w:tabs>
          <w:tab w:val="right" w:leader="dot" w:pos="8296"/>
        </w:tabs>
        <w:rPr>
          <w:rFonts w:ascii="宋体"/>
          <w:sz w:val="28"/>
          <w:szCs w:val="28"/>
        </w:rPr>
      </w:pPr>
      <w:r>
        <w:fldChar w:fldCharType="begin"/>
      </w:r>
      <w:r>
        <w:instrText xml:space="preserve"> HYPERLINK \l "_Toc501191613" </w:instrText>
      </w:r>
      <w:r>
        <w:fldChar w:fldCharType="separate"/>
      </w:r>
      <w:r>
        <w:rPr>
          <w:rStyle w:val="20"/>
          <w:rFonts w:hint="eastAsia" w:ascii="宋体" w:hAnsi="宋体" w:cs="宋体"/>
          <w:color w:val="auto"/>
          <w:sz w:val="28"/>
          <w:szCs w:val="28"/>
        </w:rPr>
        <w:t>三、</w:t>
      </w:r>
      <w:r>
        <w:rPr>
          <w:rStyle w:val="20"/>
          <w:rFonts w:ascii="宋体" w:hAnsi="宋体" w:cs="宋体"/>
          <w:color w:val="auto"/>
          <w:sz w:val="28"/>
          <w:szCs w:val="28"/>
        </w:rPr>
        <w:t xml:space="preserve"> </w:t>
      </w:r>
      <w:r>
        <w:rPr>
          <w:rStyle w:val="20"/>
          <w:rFonts w:hint="eastAsia" w:ascii="宋体" w:hAnsi="宋体" w:cs="宋体"/>
          <w:color w:val="auto"/>
          <w:sz w:val="28"/>
          <w:szCs w:val="28"/>
        </w:rPr>
        <w:t>业务学习</w:t>
      </w:r>
      <w:r>
        <w:rPr>
          <w:rFonts w:ascii="宋体"/>
          <w:sz w:val="28"/>
          <w:szCs w:val="28"/>
        </w:rPr>
        <w:tab/>
      </w:r>
      <w:r>
        <w:rPr>
          <w:rFonts w:ascii="宋体" w:hAnsi="宋体"/>
          <w:sz w:val="28"/>
          <w:szCs w:val="28"/>
        </w:rPr>
        <w:fldChar w:fldCharType="begin"/>
      </w:r>
      <w:r>
        <w:rPr>
          <w:rFonts w:ascii="宋体" w:hAnsi="宋体"/>
          <w:sz w:val="28"/>
          <w:szCs w:val="28"/>
        </w:rPr>
        <w:instrText xml:space="preserve"> PAGEREF _Toc501191613 \h </w:instrText>
      </w:r>
      <w:r>
        <w:rPr>
          <w:rFonts w:ascii="宋体" w:hAnsi="宋体"/>
          <w:sz w:val="28"/>
          <w:szCs w:val="28"/>
        </w:rPr>
        <w:fldChar w:fldCharType="separate"/>
      </w:r>
      <w:r>
        <w:rPr>
          <w:rFonts w:ascii="宋体" w:hAnsi="宋体"/>
          <w:sz w:val="28"/>
          <w:szCs w:val="28"/>
        </w:rPr>
        <w:t>8</w:t>
      </w:r>
      <w:r>
        <w:rPr>
          <w:rFonts w:ascii="宋体" w:hAnsi="宋体"/>
          <w:sz w:val="28"/>
          <w:szCs w:val="28"/>
        </w:rPr>
        <w:fldChar w:fldCharType="end"/>
      </w:r>
      <w:r>
        <w:rPr>
          <w:rFonts w:ascii="宋体" w:hAnsi="宋体"/>
          <w:sz w:val="28"/>
          <w:szCs w:val="28"/>
        </w:rPr>
        <w:fldChar w:fldCharType="end"/>
      </w:r>
    </w:p>
    <w:p>
      <w:pPr>
        <w:pStyle w:val="15"/>
        <w:tabs>
          <w:tab w:val="right" w:leader="dot" w:pos="8296"/>
        </w:tabs>
        <w:rPr>
          <w:rFonts w:ascii="宋体"/>
          <w:sz w:val="28"/>
          <w:szCs w:val="28"/>
        </w:rPr>
      </w:pPr>
      <w:r>
        <w:fldChar w:fldCharType="begin"/>
      </w:r>
      <w:r>
        <w:instrText xml:space="preserve"> HYPERLINK \l "_Toc501191614" </w:instrText>
      </w:r>
      <w:r>
        <w:fldChar w:fldCharType="separate"/>
      </w:r>
      <w:r>
        <w:rPr>
          <w:rStyle w:val="20"/>
          <w:rFonts w:hint="eastAsia" w:ascii="宋体" w:hAnsi="宋体" w:cs="宋体"/>
          <w:color w:val="auto"/>
          <w:sz w:val="28"/>
          <w:szCs w:val="28"/>
        </w:rPr>
        <w:t>四、</w:t>
      </w:r>
      <w:r>
        <w:rPr>
          <w:rStyle w:val="20"/>
          <w:rFonts w:ascii="宋体" w:hAnsi="宋体" w:cs="宋体"/>
          <w:color w:val="auto"/>
          <w:sz w:val="28"/>
          <w:szCs w:val="28"/>
        </w:rPr>
        <w:t xml:space="preserve"> </w:t>
      </w:r>
      <w:r>
        <w:rPr>
          <w:rStyle w:val="20"/>
          <w:rFonts w:hint="eastAsia" w:ascii="宋体" w:hAnsi="宋体" w:cs="宋体"/>
          <w:color w:val="auto"/>
          <w:sz w:val="28"/>
          <w:szCs w:val="28"/>
        </w:rPr>
        <w:t>操作示教</w:t>
      </w:r>
      <w:r>
        <w:rPr>
          <w:rFonts w:ascii="宋体"/>
          <w:sz w:val="28"/>
          <w:szCs w:val="28"/>
        </w:rPr>
        <w:tab/>
      </w:r>
      <w:r>
        <w:rPr>
          <w:rFonts w:ascii="宋体" w:hAnsi="宋体"/>
          <w:sz w:val="28"/>
          <w:szCs w:val="28"/>
        </w:rPr>
        <w:fldChar w:fldCharType="begin"/>
      </w:r>
      <w:r>
        <w:rPr>
          <w:rFonts w:ascii="宋体" w:hAnsi="宋体"/>
          <w:sz w:val="28"/>
          <w:szCs w:val="28"/>
        </w:rPr>
        <w:instrText xml:space="preserve"> PAGEREF _Toc501191614 \h </w:instrText>
      </w:r>
      <w:r>
        <w:rPr>
          <w:rFonts w:ascii="宋体" w:hAnsi="宋体"/>
          <w:sz w:val="28"/>
          <w:szCs w:val="28"/>
        </w:rPr>
        <w:fldChar w:fldCharType="separate"/>
      </w:r>
      <w:r>
        <w:rPr>
          <w:rFonts w:ascii="宋体" w:hAnsi="宋体"/>
          <w:sz w:val="28"/>
          <w:szCs w:val="28"/>
        </w:rPr>
        <w:t>9</w:t>
      </w:r>
      <w:r>
        <w:rPr>
          <w:rFonts w:ascii="宋体" w:hAnsi="宋体"/>
          <w:sz w:val="28"/>
          <w:szCs w:val="28"/>
        </w:rPr>
        <w:fldChar w:fldCharType="end"/>
      </w:r>
      <w:r>
        <w:rPr>
          <w:rFonts w:ascii="宋体" w:hAnsi="宋体"/>
          <w:sz w:val="28"/>
          <w:szCs w:val="28"/>
        </w:rPr>
        <w:fldChar w:fldCharType="end"/>
      </w:r>
    </w:p>
    <w:p>
      <w:pPr>
        <w:pStyle w:val="15"/>
        <w:tabs>
          <w:tab w:val="right" w:leader="dot" w:pos="8296"/>
        </w:tabs>
        <w:rPr>
          <w:rFonts w:ascii="宋体"/>
          <w:sz w:val="28"/>
          <w:szCs w:val="28"/>
        </w:rPr>
      </w:pPr>
      <w:r>
        <w:fldChar w:fldCharType="begin"/>
      </w:r>
      <w:r>
        <w:instrText xml:space="preserve"> HYPERLINK \l "_Toc501191615" </w:instrText>
      </w:r>
      <w:r>
        <w:fldChar w:fldCharType="separate"/>
      </w:r>
      <w:r>
        <w:rPr>
          <w:rStyle w:val="20"/>
          <w:rFonts w:hint="eastAsia" w:ascii="宋体" w:hAnsi="宋体" w:cs="宋体"/>
          <w:color w:val="auto"/>
          <w:sz w:val="28"/>
          <w:szCs w:val="28"/>
        </w:rPr>
        <w:t>五、</w:t>
      </w:r>
      <w:r>
        <w:rPr>
          <w:rStyle w:val="20"/>
          <w:rFonts w:ascii="宋体" w:hAnsi="宋体" w:cs="宋体"/>
          <w:color w:val="auto"/>
          <w:sz w:val="28"/>
          <w:szCs w:val="28"/>
        </w:rPr>
        <w:t xml:space="preserve"> </w:t>
      </w:r>
      <w:r>
        <w:rPr>
          <w:rStyle w:val="20"/>
          <w:rFonts w:hint="eastAsia" w:ascii="宋体" w:hAnsi="宋体" w:cs="宋体"/>
          <w:color w:val="auto"/>
          <w:sz w:val="28"/>
          <w:szCs w:val="28"/>
        </w:rPr>
        <w:t>继续教育</w:t>
      </w:r>
      <w:r>
        <w:rPr>
          <w:rFonts w:ascii="宋体"/>
          <w:sz w:val="28"/>
          <w:szCs w:val="28"/>
        </w:rPr>
        <w:tab/>
      </w:r>
      <w:r>
        <w:rPr>
          <w:rFonts w:ascii="宋体" w:hAnsi="宋体"/>
          <w:sz w:val="28"/>
          <w:szCs w:val="28"/>
        </w:rPr>
        <w:fldChar w:fldCharType="begin"/>
      </w:r>
      <w:r>
        <w:rPr>
          <w:rFonts w:ascii="宋体" w:hAnsi="宋体"/>
          <w:sz w:val="28"/>
          <w:szCs w:val="28"/>
        </w:rPr>
        <w:instrText xml:space="preserve"> PAGEREF _Toc501191615 \h </w:instrText>
      </w:r>
      <w:r>
        <w:rPr>
          <w:rFonts w:ascii="宋体" w:hAnsi="宋体"/>
          <w:sz w:val="28"/>
          <w:szCs w:val="28"/>
        </w:rPr>
        <w:fldChar w:fldCharType="separate"/>
      </w:r>
      <w:r>
        <w:rPr>
          <w:rFonts w:ascii="宋体" w:hAnsi="宋体"/>
          <w:sz w:val="28"/>
          <w:szCs w:val="28"/>
        </w:rPr>
        <w:t>9</w:t>
      </w:r>
      <w:r>
        <w:rPr>
          <w:rFonts w:ascii="宋体" w:hAnsi="宋体"/>
          <w:sz w:val="28"/>
          <w:szCs w:val="28"/>
        </w:rPr>
        <w:fldChar w:fldCharType="end"/>
      </w:r>
      <w:r>
        <w:rPr>
          <w:rFonts w:ascii="宋体" w:hAnsi="宋体"/>
          <w:sz w:val="28"/>
          <w:szCs w:val="28"/>
        </w:rPr>
        <w:fldChar w:fldCharType="end"/>
      </w:r>
    </w:p>
    <w:p>
      <w:pPr>
        <w:pStyle w:val="15"/>
        <w:tabs>
          <w:tab w:val="right" w:leader="dot" w:pos="8296"/>
        </w:tabs>
        <w:rPr>
          <w:rFonts w:ascii="宋体"/>
          <w:sz w:val="28"/>
          <w:szCs w:val="28"/>
        </w:rPr>
      </w:pPr>
      <w:r>
        <w:fldChar w:fldCharType="begin"/>
      </w:r>
      <w:r>
        <w:instrText xml:space="preserve"> HYPERLINK \l "_Toc501191616" </w:instrText>
      </w:r>
      <w:r>
        <w:fldChar w:fldCharType="separate"/>
      </w:r>
      <w:r>
        <w:rPr>
          <w:rStyle w:val="20"/>
          <w:rFonts w:hint="eastAsia" w:ascii="宋体" w:hAnsi="宋体" w:cs="宋体"/>
          <w:color w:val="auto"/>
          <w:sz w:val="28"/>
          <w:szCs w:val="28"/>
        </w:rPr>
        <w:t>六、</w:t>
      </w:r>
      <w:r>
        <w:rPr>
          <w:rStyle w:val="20"/>
          <w:rFonts w:ascii="宋体" w:hAnsi="宋体" w:cs="宋体"/>
          <w:color w:val="auto"/>
          <w:sz w:val="28"/>
          <w:szCs w:val="28"/>
        </w:rPr>
        <w:t xml:space="preserve"> </w:t>
      </w:r>
      <w:r>
        <w:rPr>
          <w:rStyle w:val="20"/>
          <w:rFonts w:hint="eastAsia" w:ascii="宋体" w:hAnsi="宋体" w:cs="宋体"/>
          <w:color w:val="auto"/>
          <w:sz w:val="28"/>
          <w:szCs w:val="28"/>
        </w:rPr>
        <w:t>考核考评</w:t>
      </w:r>
      <w:r>
        <w:rPr>
          <w:rFonts w:ascii="宋体"/>
          <w:sz w:val="28"/>
          <w:szCs w:val="28"/>
        </w:rPr>
        <w:tab/>
      </w:r>
      <w:r>
        <w:rPr>
          <w:rFonts w:ascii="宋体" w:hAnsi="宋体"/>
          <w:sz w:val="28"/>
          <w:szCs w:val="28"/>
        </w:rPr>
        <w:fldChar w:fldCharType="begin"/>
      </w:r>
      <w:r>
        <w:rPr>
          <w:rFonts w:ascii="宋体" w:hAnsi="宋体"/>
          <w:sz w:val="28"/>
          <w:szCs w:val="28"/>
        </w:rPr>
        <w:instrText xml:space="preserve"> PAGEREF _Toc501191616 \h </w:instrText>
      </w:r>
      <w:r>
        <w:rPr>
          <w:rFonts w:ascii="宋体" w:hAnsi="宋体"/>
          <w:sz w:val="28"/>
          <w:szCs w:val="28"/>
        </w:rPr>
        <w:fldChar w:fldCharType="separate"/>
      </w:r>
      <w:r>
        <w:rPr>
          <w:rFonts w:ascii="宋体" w:hAnsi="宋体"/>
          <w:sz w:val="28"/>
          <w:szCs w:val="28"/>
        </w:rPr>
        <w:t>9</w:t>
      </w:r>
      <w:r>
        <w:rPr>
          <w:rFonts w:ascii="宋体" w:hAnsi="宋体"/>
          <w:sz w:val="28"/>
          <w:szCs w:val="28"/>
        </w:rPr>
        <w:fldChar w:fldCharType="end"/>
      </w:r>
      <w:r>
        <w:rPr>
          <w:rFonts w:ascii="宋体" w:hAnsi="宋体"/>
          <w:sz w:val="28"/>
          <w:szCs w:val="28"/>
        </w:rPr>
        <w:fldChar w:fldCharType="end"/>
      </w:r>
    </w:p>
    <w:p>
      <w:pPr>
        <w:spacing w:line="360" w:lineRule="auto"/>
        <w:rPr>
          <w:rFonts w:ascii="宋体" w:cs="宋体"/>
          <w:sz w:val="28"/>
          <w:szCs w:val="28"/>
        </w:rPr>
      </w:pPr>
      <w:r>
        <w:rPr>
          <w:rFonts w:ascii="宋体" w:hAnsi="宋体" w:cs="宋体"/>
          <w:sz w:val="28"/>
          <w:szCs w:val="28"/>
        </w:rPr>
        <w:fldChar w:fldCharType="end"/>
      </w:r>
    </w:p>
    <w:p>
      <w:pPr>
        <w:spacing w:line="360" w:lineRule="auto"/>
        <w:rPr>
          <w:rFonts w:ascii="宋体" w:cs="宋体"/>
          <w:sz w:val="28"/>
          <w:szCs w:val="28"/>
        </w:rPr>
      </w:pPr>
    </w:p>
    <w:p>
      <w:pPr>
        <w:spacing w:line="360" w:lineRule="auto"/>
        <w:rPr>
          <w:rFonts w:ascii="宋体" w:cs="宋体"/>
          <w:sz w:val="28"/>
          <w:szCs w:val="28"/>
        </w:rPr>
      </w:pPr>
    </w:p>
    <w:p>
      <w:pPr>
        <w:rPr>
          <w:rFonts w:ascii="宋体" w:cs="宋体"/>
          <w:sz w:val="28"/>
          <w:szCs w:val="28"/>
        </w:rPr>
      </w:pPr>
    </w:p>
    <w:p>
      <w:pPr>
        <w:rPr>
          <w:rFonts w:ascii="宋体" w:cs="宋体"/>
          <w:sz w:val="28"/>
          <w:szCs w:val="28"/>
        </w:rPr>
      </w:pPr>
    </w:p>
    <w:p>
      <w:pPr>
        <w:rPr>
          <w:rFonts w:ascii="宋体" w:cs="宋体"/>
          <w:sz w:val="28"/>
          <w:szCs w:val="28"/>
        </w:rPr>
      </w:pPr>
    </w:p>
    <w:p>
      <w:pPr>
        <w:pStyle w:val="3"/>
      </w:pPr>
      <w:bookmarkStart w:id="0" w:name="_Toc501191606"/>
      <w:r>
        <w:rPr>
          <w:rFonts w:hint="eastAsia"/>
        </w:rPr>
        <w:t>科室特色：</w:t>
      </w:r>
      <w:bookmarkEnd w:id="0"/>
    </w:p>
    <w:p>
      <w:pPr>
        <w:spacing w:line="360" w:lineRule="auto"/>
        <w:ind w:firstLine="560" w:firstLineChars="200"/>
        <w:jc w:val="left"/>
        <w:rPr>
          <w:rFonts w:ascii="宋体" w:hAnsi="宋体"/>
          <w:sz w:val="28"/>
          <w:szCs w:val="28"/>
        </w:rPr>
      </w:pPr>
      <w:r>
        <w:rPr>
          <w:rFonts w:ascii="宋体" w:hAnsi="宋体"/>
          <w:sz w:val="28"/>
          <w:szCs w:val="28"/>
        </w:rPr>
        <w:t>福建省肿瘤医院超声科是集医疗、教学、科研为一体的医院重点科室之一，连续多年被评为“福建省肿瘤医院文明科室”、“临床医技学科能力建设先进科室”和“医德医风示范科室”，是福建省抗癌协会超声专业委员会主任委员单位、福建医学会超声分会副主任委员和福建省医师协会超声医师分会副会长单位。2008年12月和2014年9月-2018年9月被卫健委授予“福建省超声医学专科培训基地”及“福建省超声医学专业住院医师规范化培训基地”；是中华医学会超声医学分会介入诊疗学组“介入超声万里行计划”培训单位。</w:t>
      </w:r>
    </w:p>
    <w:p>
      <w:pPr>
        <w:spacing w:line="360" w:lineRule="auto"/>
        <w:ind w:firstLine="560" w:firstLineChars="200"/>
        <w:jc w:val="left"/>
        <w:rPr>
          <w:rFonts w:ascii="宋体" w:hAnsi="宋体"/>
          <w:sz w:val="28"/>
          <w:szCs w:val="28"/>
        </w:rPr>
      </w:pPr>
      <w:r>
        <w:rPr>
          <w:rFonts w:ascii="宋体" w:hAnsi="宋体"/>
          <w:sz w:val="28"/>
          <w:szCs w:val="28"/>
        </w:rPr>
        <w:t>每年完成超声检查13</w:t>
      </w:r>
      <w:r>
        <w:rPr>
          <w:rFonts w:hint="eastAsia" w:ascii="宋体" w:hAnsi="宋体"/>
          <w:sz w:val="28"/>
          <w:szCs w:val="28"/>
        </w:rPr>
        <w:t>多</w:t>
      </w:r>
      <w:r>
        <w:rPr>
          <w:rFonts w:ascii="宋体" w:hAnsi="宋体"/>
          <w:sz w:val="28"/>
          <w:szCs w:val="28"/>
        </w:rPr>
        <w:t>万人次，并设立肿瘤超声专家门诊。超声科</w:t>
      </w:r>
      <w:r>
        <w:rPr>
          <w:rFonts w:hint="eastAsia" w:ascii="宋体" w:hAnsi="宋体"/>
          <w:sz w:val="28"/>
          <w:szCs w:val="28"/>
        </w:rPr>
        <w:t>建立了超声诊断与介入超声治疗于一体的诊疗模式，</w:t>
      </w:r>
      <w:r>
        <w:rPr>
          <w:rFonts w:ascii="宋体" w:hAnsi="宋体"/>
          <w:sz w:val="28"/>
          <w:szCs w:val="28"/>
        </w:rPr>
        <w:t>已形成介入超声、浅表超声、腹部超声、妇科超声、胃肠超声、心血管超声为特色的六大学科亚专业，在全省较早开展了介入超声、超声造影、三维超声、弹性成像、腔内超声、术中超声、腹腔镜下超声等新技术，其中介入性超声、浅表超声、胃肠超声、妇科超声及腹部超声等具有明显优势</w:t>
      </w:r>
      <w:r>
        <w:rPr>
          <w:rFonts w:hint="eastAsia" w:ascii="宋体" w:hAnsi="宋体"/>
          <w:sz w:val="28"/>
          <w:szCs w:val="28"/>
        </w:rPr>
        <w:t>；年介入超声诊疗量达16000多例，包括超声引导下的穿刺活检、置管引流、聚桂醇注射液硬化治疗肝肾卵巢甲状腺囊肿、软组织血管瘤以及射频和微波消融甲状腺良恶性结节、淋巴结转移、肝癌、子宫肌瘤或腺肌症等病变。</w:t>
      </w:r>
    </w:p>
    <w:p>
      <w:pPr>
        <w:spacing w:line="360" w:lineRule="auto"/>
        <w:ind w:firstLine="560" w:firstLineChars="200"/>
        <w:jc w:val="left"/>
        <w:rPr>
          <w:rFonts w:ascii="宋体" w:hAnsi="宋体"/>
          <w:sz w:val="28"/>
          <w:szCs w:val="28"/>
        </w:rPr>
      </w:pPr>
      <w:r>
        <w:rPr>
          <w:rFonts w:ascii="宋体" w:hAnsi="宋体"/>
          <w:sz w:val="28"/>
          <w:szCs w:val="28"/>
        </w:rPr>
        <w:t>超声科注重医教研相结合，承担了省、厅级科研课题16项，有4项科研项目荣获省级科技进步奖（包括福建医药卫生科技进步奖、福建省抗癌协会科技奖等）。历年在省级、国家级学术刊物发表论文100多篇，SCI论文8篇；参编《超声E成像临床应用指南》、“甲状腺良性结节、微小癌及颈部转移性淋巴结热消融治疗专家共识及操作指南（2018版）”等；副主编《乳腺超声造影诊断图谱》。加入了多项全国多中心研究，在乳腺癌、甲状腺结节、肝癌、直肠癌的诊断和临床研究方面，积累了较丰富的经验。承担了福建医科大学、福建中医药大学、福建省卫生职业技术学院及莆田学院理论授课、见实习带教，指导数名省内外单位超声医师进修学习。在福建省抗癌协会领导下，牵头成立了福建省抗癌协会肿瘤超声专业委员会，近年来举办多期省级继续教育学习班、超声造影、介入超声的临床应用培训班及下基层义诊和学术交流等。</w:t>
      </w:r>
    </w:p>
    <w:p>
      <w:pPr>
        <w:spacing w:line="360" w:lineRule="auto"/>
        <w:ind w:firstLine="560" w:firstLineChars="200"/>
        <w:rPr>
          <w:rFonts w:ascii="黑体" w:hAnsi="黑体" w:eastAsia="黑体" w:cs="黑体"/>
          <w:sz w:val="32"/>
          <w:szCs w:val="32"/>
        </w:rPr>
      </w:pPr>
      <w:r>
        <w:rPr>
          <w:rFonts w:ascii="宋体" w:hAnsi="宋体"/>
          <w:sz w:val="28"/>
          <w:szCs w:val="28"/>
        </w:rPr>
        <w:br w:type="page"/>
      </w:r>
      <w:bookmarkStart w:id="1" w:name="_Toc501191607"/>
      <w:r>
        <w:rPr>
          <w:rFonts w:hint="eastAsia" w:ascii="黑体" w:hAnsi="黑体" w:eastAsia="黑体" w:cs="黑体"/>
          <w:sz w:val="32"/>
          <w:szCs w:val="32"/>
        </w:rPr>
        <w:t>科室带教老师简介：</w:t>
      </w:r>
      <w:bookmarkEnd w:id="1"/>
    </w:p>
    <w:tbl>
      <w:tblPr>
        <w:tblStyle w:val="17"/>
        <w:tblW w:w="9809" w:type="dxa"/>
        <w:tblInd w:w="93" w:type="dxa"/>
        <w:tblLayout w:type="fixed"/>
        <w:tblCellMar>
          <w:top w:w="0" w:type="dxa"/>
          <w:left w:w="108" w:type="dxa"/>
          <w:bottom w:w="0" w:type="dxa"/>
          <w:right w:w="108" w:type="dxa"/>
        </w:tblCellMar>
      </w:tblPr>
      <w:tblGrid>
        <w:gridCol w:w="640"/>
        <w:gridCol w:w="1175"/>
        <w:gridCol w:w="1578"/>
        <w:gridCol w:w="762"/>
        <w:gridCol w:w="1080"/>
        <w:gridCol w:w="1800"/>
        <w:gridCol w:w="2774"/>
      </w:tblGrid>
      <w:tr>
        <w:tblPrEx>
          <w:tblCellMar>
            <w:top w:w="0" w:type="dxa"/>
            <w:left w:w="108" w:type="dxa"/>
            <w:bottom w:w="0" w:type="dxa"/>
            <w:right w:w="108" w:type="dxa"/>
          </w:tblCellMar>
        </w:tblPrEx>
        <w:trPr>
          <w:trHeight w:val="285" w:hRule="atLeast"/>
        </w:trPr>
        <w:tc>
          <w:tcPr>
            <w:tcW w:w="64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b/>
                <w:bCs/>
                <w:kern w:val="0"/>
                <w:szCs w:val="21"/>
              </w:rPr>
            </w:pPr>
            <w:r>
              <w:rPr>
                <w:rFonts w:hint="eastAsia" w:ascii="宋体" w:hAnsi="宋体" w:cs="宋体"/>
                <w:b/>
                <w:bCs/>
                <w:kern w:val="0"/>
                <w:szCs w:val="21"/>
              </w:rPr>
              <w:t>序号</w:t>
            </w:r>
          </w:p>
        </w:tc>
        <w:tc>
          <w:tcPr>
            <w:tcW w:w="117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b/>
                <w:bCs/>
                <w:kern w:val="0"/>
                <w:szCs w:val="21"/>
              </w:rPr>
            </w:pPr>
            <w:r>
              <w:rPr>
                <w:rFonts w:hint="eastAsia" w:ascii="宋体" w:hAnsi="宋体" w:cs="宋体"/>
                <w:b/>
                <w:bCs/>
                <w:kern w:val="0"/>
                <w:szCs w:val="21"/>
              </w:rPr>
              <w:t>姓名</w:t>
            </w:r>
          </w:p>
        </w:tc>
        <w:tc>
          <w:tcPr>
            <w:tcW w:w="1578"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b/>
                <w:bCs/>
                <w:kern w:val="0"/>
                <w:szCs w:val="21"/>
              </w:rPr>
            </w:pPr>
            <w:r>
              <w:rPr>
                <w:rFonts w:hint="eastAsia" w:ascii="宋体" w:hAnsi="宋体" w:cs="宋体"/>
                <w:b/>
                <w:bCs/>
                <w:kern w:val="0"/>
                <w:szCs w:val="21"/>
              </w:rPr>
              <w:t>职称</w:t>
            </w:r>
          </w:p>
        </w:tc>
        <w:tc>
          <w:tcPr>
            <w:tcW w:w="762"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b/>
                <w:bCs/>
                <w:kern w:val="0"/>
                <w:szCs w:val="21"/>
              </w:rPr>
            </w:pPr>
            <w:r>
              <w:rPr>
                <w:rFonts w:hint="eastAsia" w:ascii="宋体" w:hAnsi="宋体" w:cs="宋体"/>
                <w:b/>
                <w:bCs/>
                <w:kern w:val="0"/>
                <w:szCs w:val="21"/>
              </w:rPr>
              <w:t>学位</w:t>
            </w:r>
          </w:p>
        </w:tc>
        <w:tc>
          <w:tcPr>
            <w:tcW w:w="108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b/>
                <w:bCs/>
                <w:kern w:val="0"/>
                <w:szCs w:val="21"/>
              </w:rPr>
            </w:pPr>
            <w:r>
              <w:rPr>
                <w:rFonts w:hint="eastAsia" w:ascii="宋体" w:hAnsi="宋体" w:cs="宋体"/>
                <w:b/>
                <w:bCs/>
                <w:kern w:val="0"/>
                <w:szCs w:val="21"/>
              </w:rPr>
              <w:t>学历</w:t>
            </w:r>
          </w:p>
        </w:tc>
        <w:tc>
          <w:tcPr>
            <w:tcW w:w="1800" w:type="dxa"/>
            <w:tcBorders>
              <w:top w:val="single" w:color="auto" w:sz="4" w:space="0"/>
              <w:left w:val="nil"/>
              <w:bottom w:val="single" w:color="auto" w:sz="4" w:space="0"/>
              <w:right w:val="single" w:color="auto" w:sz="4" w:space="0"/>
            </w:tcBorders>
            <w:vAlign w:val="center"/>
          </w:tcPr>
          <w:p>
            <w:pPr>
              <w:widowControl/>
              <w:jc w:val="center"/>
              <w:rPr>
                <w:rFonts w:ascii="宋体" w:cs="宋体"/>
                <w:b/>
                <w:bCs/>
                <w:kern w:val="0"/>
                <w:sz w:val="18"/>
                <w:szCs w:val="18"/>
              </w:rPr>
            </w:pPr>
            <w:r>
              <w:rPr>
                <w:rFonts w:hint="eastAsia" w:ascii="宋体" w:hAnsi="宋体" w:cs="宋体"/>
                <w:b/>
                <w:bCs/>
                <w:kern w:val="0"/>
                <w:sz w:val="18"/>
                <w:szCs w:val="18"/>
              </w:rPr>
              <w:t>最高学历</w:t>
            </w:r>
          </w:p>
        </w:tc>
        <w:tc>
          <w:tcPr>
            <w:tcW w:w="2774"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b/>
                <w:bCs/>
                <w:kern w:val="0"/>
                <w:szCs w:val="21"/>
              </w:rPr>
            </w:pPr>
            <w:r>
              <w:rPr>
                <w:rFonts w:hint="eastAsia" w:ascii="宋体" w:hAnsi="宋体" w:cs="宋体"/>
                <w:b/>
                <w:bCs/>
                <w:kern w:val="0"/>
                <w:szCs w:val="21"/>
              </w:rPr>
              <w:t>专长</w:t>
            </w:r>
          </w:p>
        </w:tc>
      </w:tr>
      <w:tr>
        <w:tblPrEx>
          <w:tblCellMar>
            <w:top w:w="0" w:type="dxa"/>
            <w:left w:w="108" w:type="dxa"/>
            <w:bottom w:w="0" w:type="dxa"/>
            <w:right w:w="108" w:type="dxa"/>
          </w:tblCellMar>
        </w:tblPrEx>
        <w:trPr>
          <w:trHeight w:val="285" w:hRule="atLeast"/>
        </w:trPr>
        <w:tc>
          <w:tcPr>
            <w:tcW w:w="6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b/>
                <w:bCs/>
                <w:kern w:val="0"/>
                <w:szCs w:val="21"/>
              </w:rPr>
            </w:pPr>
          </w:p>
        </w:tc>
        <w:tc>
          <w:tcPr>
            <w:tcW w:w="11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b/>
                <w:bCs/>
                <w:kern w:val="0"/>
                <w:szCs w:val="21"/>
              </w:rPr>
            </w:pPr>
          </w:p>
        </w:tc>
        <w:tc>
          <w:tcPr>
            <w:tcW w:w="157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b/>
                <w:bCs/>
                <w:kern w:val="0"/>
                <w:szCs w:val="21"/>
              </w:rPr>
            </w:pPr>
          </w:p>
        </w:tc>
        <w:tc>
          <w:tcPr>
            <w:tcW w:w="76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b/>
                <w:bCs/>
                <w:kern w:val="0"/>
                <w:szCs w:val="21"/>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b/>
                <w:bCs/>
                <w:kern w:val="0"/>
                <w:szCs w:val="21"/>
              </w:rPr>
            </w:pPr>
          </w:p>
        </w:tc>
        <w:tc>
          <w:tcPr>
            <w:tcW w:w="1800" w:type="dxa"/>
            <w:tcBorders>
              <w:top w:val="nil"/>
              <w:left w:val="nil"/>
              <w:bottom w:val="single" w:color="auto" w:sz="4" w:space="0"/>
              <w:right w:val="single" w:color="auto" w:sz="4" w:space="0"/>
            </w:tcBorders>
            <w:vAlign w:val="center"/>
          </w:tcPr>
          <w:p>
            <w:pPr>
              <w:widowControl/>
              <w:jc w:val="center"/>
              <w:rPr>
                <w:rFonts w:ascii="宋体" w:cs="宋体"/>
                <w:b/>
                <w:bCs/>
                <w:kern w:val="0"/>
                <w:sz w:val="18"/>
                <w:szCs w:val="18"/>
              </w:rPr>
            </w:pPr>
            <w:r>
              <w:rPr>
                <w:rFonts w:hint="eastAsia" w:ascii="宋体" w:hAnsi="宋体" w:cs="宋体"/>
                <w:b/>
                <w:bCs/>
                <w:kern w:val="0"/>
                <w:sz w:val="18"/>
                <w:szCs w:val="18"/>
              </w:rPr>
              <w:t>毕业院校</w:t>
            </w:r>
          </w:p>
        </w:tc>
        <w:tc>
          <w:tcPr>
            <w:tcW w:w="277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b/>
                <w:bCs/>
                <w:kern w:val="0"/>
                <w:szCs w:val="21"/>
              </w:rPr>
            </w:pPr>
          </w:p>
        </w:tc>
      </w:tr>
      <w:tr>
        <w:tblPrEx>
          <w:tblCellMar>
            <w:top w:w="0" w:type="dxa"/>
            <w:left w:w="108" w:type="dxa"/>
            <w:bottom w:w="0" w:type="dxa"/>
            <w:right w:w="108" w:type="dxa"/>
          </w:tblCellMar>
        </w:tblPrEx>
        <w:trPr>
          <w:trHeight w:val="510" w:hRule="atLeast"/>
        </w:trPr>
        <w:tc>
          <w:tcPr>
            <w:tcW w:w="640" w:type="dxa"/>
            <w:tcBorders>
              <w:top w:val="nil"/>
              <w:left w:val="single" w:color="auto" w:sz="4" w:space="0"/>
              <w:bottom w:val="single" w:color="auto" w:sz="4" w:space="0"/>
              <w:right w:val="single" w:color="auto" w:sz="4" w:space="0"/>
            </w:tcBorders>
            <w:noWrap/>
            <w:vAlign w:val="center"/>
          </w:tcPr>
          <w:p>
            <w:pPr>
              <w:widowControl/>
              <w:jc w:val="right"/>
              <w:rPr>
                <w:rFonts w:ascii="宋体" w:hAnsi="宋体" w:cs="宋体"/>
                <w:kern w:val="0"/>
                <w:szCs w:val="21"/>
              </w:rPr>
            </w:pPr>
            <w:r>
              <w:rPr>
                <w:rFonts w:ascii="宋体" w:hAnsi="宋体" w:cs="宋体"/>
                <w:kern w:val="0"/>
                <w:szCs w:val="21"/>
              </w:rPr>
              <w:t>1</w:t>
            </w:r>
          </w:p>
        </w:tc>
        <w:tc>
          <w:tcPr>
            <w:tcW w:w="1175" w:type="dxa"/>
            <w:tcBorders>
              <w:top w:val="nil"/>
              <w:left w:val="nil"/>
              <w:bottom w:val="single" w:color="auto" w:sz="4" w:space="0"/>
              <w:right w:val="single" w:color="auto" w:sz="4" w:space="0"/>
            </w:tcBorders>
            <w:noWrap/>
            <w:vAlign w:val="center"/>
          </w:tcPr>
          <w:p>
            <w:pPr>
              <w:widowControl/>
              <w:jc w:val="left"/>
              <w:rPr>
                <w:rFonts w:ascii="宋体" w:hAnsi="宋体" w:cs="宋体"/>
                <w:kern w:val="0"/>
                <w:szCs w:val="21"/>
              </w:rPr>
            </w:pPr>
            <w:r>
              <w:rPr>
                <w:rFonts w:hint="eastAsia" w:ascii="宋体" w:hAnsi="宋体" w:cs="宋体"/>
                <w:kern w:val="0"/>
                <w:szCs w:val="21"/>
              </w:rPr>
              <w:t>唐丽娜</w:t>
            </w:r>
          </w:p>
        </w:tc>
        <w:tc>
          <w:tcPr>
            <w:tcW w:w="1578" w:type="dxa"/>
            <w:tcBorders>
              <w:top w:val="nil"/>
              <w:left w:val="nil"/>
              <w:bottom w:val="single" w:color="auto" w:sz="4" w:space="0"/>
              <w:right w:val="single" w:color="auto" w:sz="4" w:space="0"/>
            </w:tcBorders>
            <w:noWrap/>
            <w:vAlign w:val="center"/>
          </w:tcPr>
          <w:p>
            <w:pPr>
              <w:widowControl/>
              <w:jc w:val="left"/>
              <w:rPr>
                <w:rFonts w:ascii="宋体" w:hAnsi="宋体" w:cs="宋体"/>
                <w:kern w:val="0"/>
                <w:szCs w:val="21"/>
              </w:rPr>
            </w:pPr>
            <w:r>
              <w:rPr>
                <w:rFonts w:hint="eastAsia" w:ascii="宋体" w:hAnsi="宋体" w:cs="宋体"/>
                <w:kern w:val="0"/>
                <w:szCs w:val="21"/>
              </w:rPr>
              <w:t>主任医师</w:t>
            </w:r>
          </w:p>
        </w:tc>
        <w:tc>
          <w:tcPr>
            <w:tcW w:w="762" w:type="dxa"/>
            <w:tcBorders>
              <w:top w:val="nil"/>
              <w:left w:val="nil"/>
              <w:bottom w:val="single" w:color="auto" w:sz="4" w:space="0"/>
              <w:right w:val="single" w:color="auto" w:sz="4" w:space="0"/>
            </w:tcBorders>
            <w:noWrap/>
            <w:vAlign w:val="center"/>
          </w:tcPr>
          <w:p>
            <w:pPr>
              <w:widowControl/>
              <w:jc w:val="left"/>
              <w:rPr>
                <w:rFonts w:ascii="宋体" w:hAnsi="宋体" w:cs="宋体"/>
                <w:kern w:val="0"/>
                <w:szCs w:val="21"/>
              </w:rPr>
            </w:pPr>
            <w:r>
              <w:rPr>
                <w:rFonts w:hint="eastAsia" w:ascii="宋体" w:hAnsi="宋体" w:cs="宋体"/>
                <w:kern w:val="0"/>
                <w:szCs w:val="21"/>
              </w:rPr>
              <w:t>本科</w:t>
            </w:r>
          </w:p>
        </w:tc>
        <w:tc>
          <w:tcPr>
            <w:tcW w:w="1080" w:type="dxa"/>
            <w:tcBorders>
              <w:top w:val="nil"/>
              <w:left w:val="nil"/>
              <w:bottom w:val="single" w:color="auto" w:sz="4" w:space="0"/>
              <w:right w:val="single" w:color="auto" w:sz="4" w:space="0"/>
            </w:tcBorders>
            <w:noWrap/>
            <w:vAlign w:val="center"/>
          </w:tcPr>
          <w:p>
            <w:pPr>
              <w:widowControl/>
              <w:jc w:val="left"/>
              <w:rPr>
                <w:rFonts w:ascii="宋体" w:hAnsi="宋体" w:cs="宋体"/>
                <w:kern w:val="0"/>
                <w:szCs w:val="21"/>
              </w:rPr>
            </w:pPr>
            <w:r>
              <w:rPr>
                <w:rFonts w:hint="eastAsia" w:ascii="宋体" w:hAnsi="宋体" w:cs="宋体"/>
                <w:kern w:val="0"/>
                <w:szCs w:val="21"/>
              </w:rPr>
              <w:t>本科</w:t>
            </w:r>
          </w:p>
        </w:tc>
        <w:tc>
          <w:tcPr>
            <w:tcW w:w="1800"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福建医科大学</w:t>
            </w:r>
          </w:p>
        </w:tc>
        <w:tc>
          <w:tcPr>
            <w:tcW w:w="2774" w:type="dxa"/>
            <w:tcBorders>
              <w:top w:val="nil"/>
              <w:left w:val="nil"/>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介入性超声诊断与治疗；擅长甲状腺/肝脏结节诊断、穿刺、射频微波消融治疗及腔内超声、肝、乳腺疾病的超声造影等</w:t>
            </w:r>
          </w:p>
        </w:tc>
      </w:tr>
      <w:tr>
        <w:tblPrEx>
          <w:tblCellMar>
            <w:top w:w="0" w:type="dxa"/>
            <w:left w:w="108" w:type="dxa"/>
            <w:bottom w:w="0" w:type="dxa"/>
            <w:right w:w="108" w:type="dxa"/>
          </w:tblCellMar>
        </w:tblPrEx>
        <w:trPr>
          <w:trHeight w:val="510" w:hRule="atLeast"/>
        </w:trPr>
        <w:tc>
          <w:tcPr>
            <w:tcW w:w="640" w:type="dxa"/>
            <w:tcBorders>
              <w:top w:val="nil"/>
              <w:left w:val="single" w:color="auto" w:sz="4" w:space="0"/>
              <w:bottom w:val="single" w:color="auto" w:sz="4" w:space="0"/>
              <w:right w:val="single" w:color="auto" w:sz="4" w:space="0"/>
            </w:tcBorders>
            <w:noWrap/>
            <w:vAlign w:val="center"/>
          </w:tcPr>
          <w:p>
            <w:pPr>
              <w:widowControl/>
              <w:jc w:val="right"/>
              <w:rPr>
                <w:rFonts w:ascii="宋体" w:hAnsi="宋体" w:cs="宋体"/>
                <w:kern w:val="0"/>
                <w:szCs w:val="21"/>
              </w:rPr>
            </w:pPr>
            <w:r>
              <w:rPr>
                <w:rFonts w:ascii="宋体" w:hAnsi="宋体" w:cs="宋体"/>
                <w:kern w:val="0"/>
                <w:szCs w:val="21"/>
              </w:rPr>
              <w:t>2</w:t>
            </w:r>
          </w:p>
        </w:tc>
        <w:tc>
          <w:tcPr>
            <w:tcW w:w="1175" w:type="dxa"/>
            <w:tcBorders>
              <w:top w:val="nil"/>
              <w:left w:val="nil"/>
              <w:bottom w:val="single" w:color="auto" w:sz="4" w:space="0"/>
              <w:right w:val="single" w:color="auto" w:sz="4" w:space="0"/>
            </w:tcBorders>
            <w:noWrap/>
            <w:vAlign w:val="center"/>
          </w:tcPr>
          <w:p>
            <w:pPr>
              <w:widowControl/>
              <w:jc w:val="left"/>
              <w:rPr>
                <w:rFonts w:ascii="宋体" w:hAnsi="宋体" w:cs="宋体"/>
                <w:kern w:val="0"/>
                <w:szCs w:val="21"/>
              </w:rPr>
            </w:pPr>
            <w:r>
              <w:rPr>
                <w:rFonts w:hint="eastAsia" w:ascii="宋体" w:hAnsi="宋体" w:cs="宋体"/>
                <w:kern w:val="0"/>
                <w:szCs w:val="21"/>
              </w:rPr>
              <w:t>沈友洪</w:t>
            </w:r>
          </w:p>
        </w:tc>
        <w:tc>
          <w:tcPr>
            <w:tcW w:w="1578" w:type="dxa"/>
            <w:tcBorders>
              <w:top w:val="nil"/>
              <w:left w:val="nil"/>
              <w:bottom w:val="single" w:color="auto" w:sz="4" w:space="0"/>
              <w:right w:val="single" w:color="auto" w:sz="4" w:space="0"/>
            </w:tcBorders>
            <w:noWrap/>
            <w:vAlign w:val="center"/>
          </w:tcPr>
          <w:p>
            <w:pPr>
              <w:widowControl/>
              <w:jc w:val="left"/>
              <w:rPr>
                <w:rFonts w:ascii="宋体" w:hAnsi="宋体" w:cs="宋体"/>
                <w:kern w:val="0"/>
                <w:szCs w:val="21"/>
              </w:rPr>
            </w:pPr>
            <w:r>
              <w:rPr>
                <w:rFonts w:hint="eastAsia" w:ascii="宋体" w:hAnsi="宋体" w:cs="宋体"/>
                <w:kern w:val="0"/>
                <w:szCs w:val="21"/>
              </w:rPr>
              <w:t>副主任医师</w:t>
            </w:r>
          </w:p>
        </w:tc>
        <w:tc>
          <w:tcPr>
            <w:tcW w:w="762" w:type="dxa"/>
            <w:tcBorders>
              <w:top w:val="nil"/>
              <w:left w:val="nil"/>
              <w:bottom w:val="single" w:color="auto" w:sz="4" w:space="0"/>
              <w:right w:val="single" w:color="auto" w:sz="4" w:space="0"/>
            </w:tcBorders>
            <w:noWrap/>
            <w:vAlign w:val="center"/>
          </w:tcPr>
          <w:p>
            <w:pPr>
              <w:widowControl/>
              <w:jc w:val="left"/>
              <w:rPr>
                <w:rFonts w:ascii="宋体" w:hAnsi="宋体" w:cs="宋体"/>
                <w:kern w:val="0"/>
                <w:szCs w:val="21"/>
              </w:rPr>
            </w:pPr>
            <w:r>
              <w:rPr>
                <w:rFonts w:hint="eastAsia" w:ascii="宋体" w:hAnsi="宋体" w:cs="宋体"/>
                <w:kern w:val="0"/>
                <w:szCs w:val="21"/>
              </w:rPr>
              <w:t>本科</w:t>
            </w:r>
          </w:p>
        </w:tc>
        <w:tc>
          <w:tcPr>
            <w:tcW w:w="1080" w:type="dxa"/>
            <w:tcBorders>
              <w:top w:val="nil"/>
              <w:left w:val="nil"/>
              <w:bottom w:val="single" w:color="auto" w:sz="4" w:space="0"/>
              <w:right w:val="single" w:color="auto" w:sz="4" w:space="0"/>
            </w:tcBorders>
            <w:noWrap/>
            <w:vAlign w:val="center"/>
          </w:tcPr>
          <w:p>
            <w:pPr>
              <w:widowControl/>
              <w:jc w:val="left"/>
              <w:rPr>
                <w:rFonts w:ascii="宋体" w:hAnsi="宋体" w:cs="宋体"/>
                <w:kern w:val="0"/>
                <w:szCs w:val="21"/>
              </w:rPr>
            </w:pPr>
            <w:r>
              <w:rPr>
                <w:rFonts w:hint="eastAsia" w:ascii="宋体" w:hAnsi="宋体" w:cs="宋体"/>
                <w:kern w:val="0"/>
                <w:szCs w:val="21"/>
              </w:rPr>
              <w:t>本科</w:t>
            </w:r>
          </w:p>
        </w:tc>
        <w:tc>
          <w:tcPr>
            <w:tcW w:w="1800"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青岛医科大学</w:t>
            </w:r>
          </w:p>
        </w:tc>
        <w:tc>
          <w:tcPr>
            <w:tcW w:w="2774" w:type="dxa"/>
            <w:tcBorders>
              <w:top w:val="nil"/>
              <w:left w:val="nil"/>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介入性超声诊断与治疗；擅长肝癌射频消融及无水酒精硬化治疗</w:t>
            </w:r>
          </w:p>
        </w:tc>
      </w:tr>
      <w:tr>
        <w:tblPrEx>
          <w:tblCellMar>
            <w:top w:w="0" w:type="dxa"/>
            <w:left w:w="108" w:type="dxa"/>
            <w:bottom w:w="0" w:type="dxa"/>
            <w:right w:w="108" w:type="dxa"/>
          </w:tblCellMar>
        </w:tblPrEx>
        <w:trPr>
          <w:trHeight w:val="285" w:hRule="atLeast"/>
        </w:trPr>
        <w:tc>
          <w:tcPr>
            <w:tcW w:w="640" w:type="dxa"/>
            <w:tcBorders>
              <w:top w:val="nil"/>
              <w:left w:val="single" w:color="auto" w:sz="4" w:space="0"/>
              <w:bottom w:val="single" w:color="auto" w:sz="4" w:space="0"/>
              <w:right w:val="single" w:color="auto" w:sz="4" w:space="0"/>
            </w:tcBorders>
            <w:noWrap/>
            <w:vAlign w:val="center"/>
          </w:tcPr>
          <w:p>
            <w:pPr>
              <w:widowControl/>
              <w:jc w:val="right"/>
              <w:rPr>
                <w:rFonts w:ascii="宋体" w:hAnsi="宋体" w:cs="宋体"/>
                <w:kern w:val="0"/>
                <w:szCs w:val="21"/>
              </w:rPr>
            </w:pPr>
            <w:r>
              <w:rPr>
                <w:rFonts w:ascii="宋体" w:hAnsi="宋体" w:cs="宋体"/>
                <w:kern w:val="0"/>
                <w:szCs w:val="21"/>
              </w:rPr>
              <w:t>3</w:t>
            </w:r>
          </w:p>
        </w:tc>
        <w:tc>
          <w:tcPr>
            <w:tcW w:w="1175" w:type="dxa"/>
            <w:tcBorders>
              <w:top w:val="nil"/>
              <w:left w:val="nil"/>
              <w:bottom w:val="single" w:color="auto" w:sz="4" w:space="0"/>
              <w:right w:val="single" w:color="auto" w:sz="4" w:space="0"/>
            </w:tcBorders>
            <w:noWrap/>
            <w:vAlign w:val="center"/>
          </w:tcPr>
          <w:p>
            <w:pPr>
              <w:widowControl/>
              <w:jc w:val="left"/>
              <w:rPr>
                <w:rFonts w:ascii="宋体" w:hAnsi="宋体" w:cs="宋体"/>
                <w:kern w:val="0"/>
                <w:szCs w:val="21"/>
              </w:rPr>
            </w:pPr>
            <w:r>
              <w:rPr>
                <w:rFonts w:hint="eastAsia" w:ascii="宋体" w:hAnsi="宋体" w:cs="宋体"/>
                <w:kern w:val="0"/>
                <w:szCs w:val="21"/>
              </w:rPr>
              <w:t>王瑶琴</w:t>
            </w:r>
          </w:p>
        </w:tc>
        <w:tc>
          <w:tcPr>
            <w:tcW w:w="1578" w:type="dxa"/>
            <w:tcBorders>
              <w:top w:val="nil"/>
              <w:left w:val="nil"/>
              <w:bottom w:val="single" w:color="auto" w:sz="4" w:space="0"/>
              <w:right w:val="single" w:color="auto" w:sz="4" w:space="0"/>
            </w:tcBorders>
            <w:noWrap/>
            <w:vAlign w:val="center"/>
          </w:tcPr>
          <w:p>
            <w:pPr>
              <w:widowControl/>
              <w:jc w:val="left"/>
              <w:rPr>
                <w:rFonts w:ascii="宋体" w:hAnsi="宋体" w:cs="宋体"/>
                <w:kern w:val="0"/>
                <w:szCs w:val="21"/>
              </w:rPr>
            </w:pPr>
            <w:r>
              <w:rPr>
                <w:rFonts w:hint="eastAsia" w:ascii="宋体" w:hAnsi="宋体" w:cs="宋体"/>
                <w:kern w:val="0"/>
                <w:szCs w:val="21"/>
              </w:rPr>
              <w:t>副主任医师</w:t>
            </w:r>
          </w:p>
        </w:tc>
        <w:tc>
          <w:tcPr>
            <w:tcW w:w="762" w:type="dxa"/>
            <w:tcBorders>
              <w:top w:val="nil"/>
              <w:left w:val="nil"/>
              <w:bottom w:val="single" w:color="auto" w:sz="4" w:space="0"/>
              <w:right w:val="single" w:color="auto" w:sz="4" w:space="0"/>
            </w:tcBorders>
            <w:noWrap/>
            <w:vAlign w:val="center"/>
          </w:tcPr>
          <w:p>
            <w:pPr>
              <w:widowControl/>
              <w:jc w:val="left"/>
              <w:rPr>
                <w:rFonts w:ascii="宋体" w:hAnsi="宋体" w:cs="宋体"/>
                <w:kern w:val="0"/>
                <w:szCs w:val="21"/>
              </w:rPr>
            </w:pPr>
            <w:r>
              <w:rPr>
                <w:rFonts w:hint="eastAsia" w:ascii="宋体" w:hAnsi="宋体" w:cs="宋体"/>
                <w:kern w:val="0"/>
                <w:szCs w:val="21"/>
              </w:rPr>
              <w:t>硕士</w:t>
            </w:r>
          </w:p>
        </w:tc>
        <w:tc>
          <w:tcPr>
            <w:tcW w:w="1080" w:type="dxa"/>
            <w:tcBorders>
              <w:top w:val="nil"/>
              <w:left w:val="nil"/>
              <w:bottom w:val="single" w:color="auto" w:sz="4" w:space="0"/>
              <w:right w:val="single" w:color="auto" w:sz="4" w:space="0"/>
            </w:tcBorders>
            <w:noWrap/>
            <w:vAlign w:val="center"/>
          </w:tcPr>
          <w:p>
            <w:pPr>
              <w:widowControl/>
              <w:jc w:val="left"/>
              <w:rPr>
                <w:rFonts w:ascii="宋体" w:hAnsi="宋体" w:cs="宋体"/>
                <w:kern w:val="0"/>
                <w:szCs w:val="21"/>
              </w:rPr>
            </w:pPr>
            <w:r>
              <w:rPr>
                <w:rFonts w:hint="eastAsia" w:ascii="宋体" w:hAnsi="宋体" w:cs="宋体"/>
                <w:kern w:val="0"/>
                <w:szCs w:val="21"/>
              </w:rPr>
              <w:t>研究生</w:t>
            </w:r>
          </w:p>
        </w:tc>
        <w:tc>
          <w:tcPr>
            <w:tcW w:w="1800"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广西医科大学</w:t>
            </w:r>
          </w:p>
        </w:tc>
        <w:tc>
          <w:tcPr>
            <w:tcW w:w="2774" w:type="dxa"/>
            <w:tcBorders>
              <w:top w:val="nil"/>
              <w:left w:val="nil"/>
              <w:bottom w:val="single" w:color="auto" w:sz="4" w:space="0"/>
              <w:right w:val="single" w:color="auto" w:sz="4" w:space="0"/>
            </w:tcBorders>
            <w:vAlign w:val="center"/>
          </w:tcPr>
          <w:p>
            <w:pPr>
              <w:widowControl/>
              <w:rPr>
                <w:rFonts w:ascii="宋体" w:hAnsi="宋体" w:cs="宋体"/>
                <w:kern w:val="0"/>
                <w:szCs w:val="21"/>
              </w:rPr>
            </w:pPr>
            <w:r>
              <w:rPr>
                <w:rFonts w:hint="eastAsia" w:ascii="宋体" w:hAnsi="宋体" w:cs="宋体"/>
                <w:kern w:val="0"/>
                <w:szCs w:val="21"/>
              </w:rPr>
              <w:t>甲状腺、乳腺、肝脏超声弹性成像、超声造影及胃超声检查</w:t>
            </w:r>
          </w:p>
        </w:tc>
      </w:tr>
      <w:tr>
        <w:tblPrEx>
          <w:tblCellMar>
            <w:top w:w="0" w:type="dxa"/>
            <w:left w:w="108" w:type="dxa"/>
            <w:bottom w:w="0" w:type="dxa"/>
            <w:right w:w="108" w:type="dxa"/>
          </w:tblCellMar>
        </w:tblPrEx>
        <w:trPr>
          <w:trHeight w:val="285" w:hRule="atLeast"/>
        </w:trPr>
        <w:tc>
          <w:tcPr>
            <w:tcW w:w="640" w:type="dxa"/>
            <w:tcBorders>
              <w:top w:val="nil"/>
              <w:left w:val="single" w:color="auto" w:sz="4" w:space="0"/>
              <w:bottom w:val="single" w:color="auto" w:sz="4" w:space="0"/>
              <w:right w:val="single" w:color="auto" w:sz="4" w:space="0"/>
            </w:tcBorders>
            <w:noWrap/>
            <w:vAlign w:val="center"/>
          </w:tcPr>
          <w:p>
            <w:pPr>
              <w:widowControl/>
              <w:jc w:val="right"/>
              <w:rPr>
                <w:rFonts w:ascii="宋体" w:hAnsi="宋体" w:cs="宋体"/>
                <w:kern w:val="0"/>
                <w:szCs w:val="21"/>
              </w:rPr>
            </w:pPr>
            <w:r>
              <w:rPr>
                <w:rFonts w:hint="eastAsia" w:ascii="宋体" w:hAnsi="宋体" w:cs="宋体"/>
                <w:kern w:val="0"/>
                <w:szCs w:val="21"/>
              </w:rPr>
              <w:t>4</w:t>
            </w:r>
          </w:p>
        </w:tc>
        <w:tc>
          <w:tcPr>
            <w:tcW w:w="1175" w:type="dxa"/>
            <w:tcBorders>
              <w:top w:val="nil"/>
              <w:left w:val="nil"/>
              <w:bottom w:val="single" w:color="auto" w:sz="4" w:space="0"/>
              <w:right w:val="single" w:color="auto" w:sz="4" w:space="0"/>
            </w:tcBorders>
            <w:noWrap/>
            <w:vAlign w:val="center"/>
          </w:tcPr>
          <w:p>
            <w:pPr>
              <w:widowControl/>
              <w:jc w:val="left"/>
              <w:rPr>
                <w:rFonts w:ascii="宋体" w:hAnsi="宋体" w:cs="宋体"/>
                <w:kern w:val="0"/>
                <w:szCs w:val="21"/>
              </w:rPr>
            </w:pPr>
            <w:r>
              <w:rPr>
                <w:rFonts w:hint="eastAsia" w:ascii="宋体" w:hAnsi="宋体" w:cs="宋体"/>
                <w:kern w:val="0"/>
                <w:szCs w:val="21"/>
              </w:rPr>
              <w:t>黄伟钦</w:t>
            </w:r>
          </w:p>
        </w:tc>
        <w:tc>
          <w:tcPr>
            <w:tcW w:w="1578" w:type="dxa"/>
            <w:tcBorders>
              <w:top w:val="nil"/>
              <w:left w:val="nil"/>
              <w:bottom w:val="single" w:color="auto" w:sz="4" w:space="0"/>
              <w:right w:val="single" w:color="auto" w:sz="4" w:space="0"/>
            </w:tcBorders>
            <w:noWrap/>
            <w:vAlign w:val="center"/>
          </w:tcPr>
          <w:p>
            <w:pPr>
              <w:widowControl/>
              <w:jc w:val="left"/>
              <w:rPr>
                <w:rFonts w:ascii="宋体" w:hAnsi="宋体" w:cs="宋体"/>
                <w:kern w:val="0"/>
                <w:szCs w:val="21"/>
              </w:rPr>
            </w:pPr>
            <w:r>
              <w:rPr>
                <w:rFonts w:hint="eastAsia" w:ascii="宋体" w:hAnsi="宋体" w:cs="宋体"/>
                <w:kern w:val="0"/>
                <w:szCs w:val="21"/>
              </w:rPr>
              <w:t>副主任医师</w:t>
            </w:r>
          </w:p>
        </w:tc>
        <w:tc>
          <w:tcPr>
            <w:tcW w:w="762" w:type="dxa"/>
            <w:tcBorders>
              <w:top w:val="nil"/>
              <w:left w:val="nil"/>
              <w:bottom w:val="single" w:color="auto" w:sz="4" w:space="0"/>
              <w:right w:val="single" w:color="auto" w:sz="4" w:space="0"/>
            </w:tcBorders>
            <w:noWrap/>
            <w:vAlign w:val="center"/>
          </w:tcPr>
          <w:p>
            <w:pPr>
              <w:widowControl/>
              <w:jc w:val="left"/>
              <w:rPr>
                <w:rFonts w:ascii="宋体" w:hAnsi="宋体" w:cs="宋体"/>
                <w:kern w:val="0"/>
                <w:szCs w:val="21"/>
              </w:rPr>
            </w:pPr>
            <w:r>
              <w:rPr>
                <w:rFonts w:hint="eastAsia" w:ascii="宋体" w:hAnsi="宋体" w:cs="宋体"/>
                <w:kern w:val="0"/>
                <w:szCs w:val="21"/>
              </w:rPr>
              <w:t>硕士</w:t>
            </w:r>
          </w:p>
        </w:tc>
        <w:tc>
          <w:tcPr>
            <w:tcW w:w="1080" w:type="dxa"/>
            <w:tcBorders>
              <w:top w:val="nil"/>
              <w:left w:val="nil"/>
              <w:bottom w:val="single" w:color="auto" w:sz="4" w:space="0"/>
              <w:right w:val="single" w:color="auto" w:sz="4" w:space="0"/>
            </w:tcBorders>
            <w:noWrap/>
            <w:vAlign w:val="center"/>
          </w:tcPr>
          <w:p>
            <w:pPr>
              <w:widowControl/>
              <w:jc w:val="left"/>
              <w:rPr>
                <w:rFonts w:ascii="宋体" w:hAnsi="宋体" w:cs="宋体"/>
                <w:kern w:val="0"/>
                <w:szCs w:val="21"/>
              </w:rPr>
            </w:pPr>
            <w:r>
              <w:rPr>
                <w:rFonts w:hint="eastAsia" w:ascii="宋体" w:hAnsi="宋体" w:cs="宋体"/>
                <w:kern w:val="0"/>
                <w:szCs w:val="21"/>
              </w:rPr>
              <w:t>研究生</w:t>
            </w:r>
          </w:p>
        </w:tc>
        <w:tc>
          <w:tcPr>
            <w:tcW w:w="1800"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福建医科大学</w:t>
            </w:r>
          </w:p>
        </w:tc>
        <w:tc>
          <w:tcPr>
            <w:tcW w:w="2774" w:type="dxa"/>
            <w:tcBorders>
              <w:top w:val="nil"/>
              <w:left w:val="nil"/>
              <w:bottom w:val="single" w:color="auto" w:sz="4" w:space="0"/>
              <w:right w:val="single" w:color="auto" w:sz="4" w:space="0"/>
            </w:tcBorders>
            <w:vAlign w:val="center"/>
          </w:tcPr>
          <w:p>
            <w:pPr>
              <w:widowControl/>
              <w:rPr>
                <w:rFonts w:ascii="宋体" w:hAnsi="宋体" w:cs="宋体"/>
                <w:kern w:val="0"/>
                <w:szCs w:val="21"/>
              </w:rPr>
            </w:pPr>
            <w:r>
              <w:rPr>
                <w:rFonts w:hint="eastAsia" w:ascii="宋体" w:hAnsi="宋体" w:cs="宋体"/>
                <w:kern w:val="0"/>
                <w:szCs w:val="21"/>
              </w:rPr>
              <w:t>经直肠双重造影、介入超声</w:t>
            </w:r>
          </w:p>
        </w:tc>
      </w:tr>
      <w:tr>
        <w:tblPrEx>
          <w:tblCellMar>
            <w:top w:w="0" w:type="dxa"/>
            <w:left w:w="108" w:type="dxa"/>
            <w:bottom w:w="0" w:type="dxa"/>
            <w:right w:w="108" w:type="dxa"/>
          </w:tblCellMar>
        </w:tblPrEx>
        <w:trPr>
          <w:trHeight w:val="285" w:hRule="atLeast"/>
        </w:trPr>
        <w:tc>
          <w:tcPr>
            <w:tcW w:w="640" w:type="dxa"/>
            <w:tcBorders>
              <w:top w:val="nil"/>
              <w:left w:val="single" w:color="auto" w:sz="4" w:space="0"/>
              <w:bottom w:val="single" w:color="auto" w:sz="4" w:space="0"/>
              <w:right w:val="single" w:color="auto" w:sz="4" w:space="0"/>
            </w:tcBorders>
            <w:noWrap/>
            <w:vAlign w:val="center"/>
          </w:tcPr>
          <w:p>
            <w:pPr>
              <w:widowControl/>
              <w:jc w:val="right"/>
              <w:rPr>
                <w:rFonts w:ascii="宋体" w:hAnsi="宋体" w:cs="宋体"/>
                <w:kern w:val="0"/>
                <w:szCs w:val="21"/>
              </w:rPr>
            </w:pPr>
            <w:r>
              <w:rPr>
                <w:rFonts w:ascii="宋体" w:hAnsi="宋体" w:cs="宋体"/>
                <w:kern w:val="0"/>
                <w:szCs w:val="21"/>
              </w:rPr>
              <w:t>5</w:t>
            </w:r>
          </w:p>
        </w:tc>
        <w:tc>
          <w:tcPr>
            <w:tcW w:w="1175" w:type="dxa"/>
            <w:tcBorders>
              <w:top w:val="nil"/>
              <w:left w:val="nil"/>
              <w:bottom w:val="single" w:color="auto" w:sz="4" w:space="0"/>
              <w:right w:val="single" w:color="auto" w:sz="4" w:space="0"/>
            </w:tcBorders>
            <w:noWrap/>
            <w:vAlign w:val="center"/>
          </w:tcPr>
          <w:p>
            <w:pPr>
              <w:widowControl/>
              <w:jc w:val="left"/>
              <w:rPr>
                <w:rFonts w:ascii="宋体" w:hAnsi="宋体" w:cs="宋体"/>
                <w:kern w:val="0"/>
                <w:szCs w:val="21"/>
              </w:rPr>
            </w:pPr>
            <w:r>
              <w:rPr>
                <w:rFonts w:hint="eastAsia" w:ascii="宋体" w:hAnsi="宋体" w:cs="宋体"/>
                <w:kern w:val="0"/>
                <w:szCs w:val="21"/>
              </w:rPr>
              <w:t>吴周贵</w:t>
            </w:r>
          </w:p>
        </w:tc>
        <w:tc>
          <w:tcPr>
            <w:tcW w:w="1578" w:type="dxa"/>
            <w:tcBorders>
              <w:top w:val="nil"/>
              <w:left w:val="nil"/>
              <w:bottom w:val="single" w:color="auto" w:sz="4" w:space="0"/>
              <w:right w:val="single" w:color="auto" w:sz="4" w:space="0"/>
            </w:tcBorders>
            <w:noWrap/>
            <w:vAlign w:val="center"/>
          </w:tcPr>
          <w:p>
            <w:pPr>
              <w:widowControl/>
              <w:jc w:val="left"/>
              <w:rPr>
                <w:rFonts w:ascii="宋体" w:hAnsi="宋体" w:cs="宋体"/>
                <w:kern w:val="0"/>
                <w:szCs w:val="21"/>
              </w:rPr>
            </w:pPr>
            <w:bookmarkStart w:id="2" w:name="OLE_LINK2"/>
            <w:r>
              <w:rPr>
                <w:rFonts w:hint="eastAsia" w:ascii="宋体" w:hAnsi="宋体" w:cs="宋体"/>
                <w:kern w:val="0"/>
                <w:szCs w:val="21"/>
              </w:rPr>
              <w:t>副主任医师</w:t>
            </w:r>
            <w:bookmarkEnd w:id="2"/>
          </w:p>
        </w:tc>
        <w:tc>
          <w:tcPr>
            <w:tcW w:w="762" w:type="dxa"/>
            <w:tcBorders>
              <w:top w:val="nil"/>
              <w:left w:val="nil"/>
              <w:bottom w:val="single" w:color="auto" w:sz="4" w:space="0"/>
              <w:right w:val="single" w:color="auto" w:sz="4" w:space="0"/>
            </w:tcBorders>
            <w:noWrap/>
            <w:vAlign w:val="center"/>
          </w:tcPr>
          <w:p>
            <w:pPr>
              <w:widowControl/>
              <w:jc w:val="left"/>
              <w:rPr>
                <w:rFonts w:ascii="宋体" w:hAnsi="宋体" w:cs="宋体"/>
                <w:kern w:val="0"/>
                <w:szCs w:val="21"/>
              </w:rPr>
            </w:pPr>
            <w:r>
              <w:rPr>
                <w:rFonts w:hint="eastAsia" w:ascii="宋体" w:hAnsi="宋体" w:cs="宋体"/>
                <w:kern w:val="0"/>
                <w:szCs w:val="21"/>
              </w:rPr>
              <w:t>本科</w:t>
            </w:r>
          </w:p>
        </w:tc>
        <w:tc>
          <w:tcPr>
            <w:tcW w:w="1080" w:type="dxa"/>
            <w:tcBorders>
              <w:top w:val="nil"/>
              <w:left w:val="nil"/>
              <w:bottom w:val="single" w:color="auto" w:sz="4" w:space="0"/>
              <w:right w:val="single" w:color="auto" w:sz="4" w:space="0"/>
            </w:tcBorders>
            <w:noWrap/>
            <w:vAlign w:val="center"/>
          </w:tcPr>
          <w:p>
            <w:pPr>
              <w:widowControl/>
              <w:jc w:val="left"/>
              <w:rPr>
                <w:rFonts w:ascii="宋体" w:hAnsi="宋体" w:cs="宋体"/>
                <w:kern w:val="0"/>
                <w:szCs w:val="21"/>
              </w:rPr>
            </w:pPr>
            <w:r>
              <w:rPr>
                <w:rFonts w:hint="eastAsia" w:ascii="宋体" w:hAnsi="宋体" w:cs="宋体"/>
                <w:kern w:val="0"/>
                <w:szCs w:val="21"/>
              </w:rPr>
              <w:t>本科</w:t>
            </w:r>
          </w:p>
        </w:tc>
        <w:tc>
          <w:tcPr>
            <w:tcW w:w="1800" w:type="dxa"/>
            <w:tcBorders>
              <w:top w:val="nil"/>
              <w:left w:val="nil"/>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吉林大学（原白求恩医科大学）</w:t>
            </w:r>
          </w:p>
        </w:tc>
        <w:tc>
          <w:tcPr>
            <w:tcW w:w="2774" w:type="dxa"/>
            <w:tcBorders>
              <w:top w:val="nil"/>
              <w:left w:val="nil"/>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介入性超声诊断与治疗</w:t>
            </w:r>
          </w:p>
        </w:tc>
      </w:tr>
      <w:tr>
        <w:tblPrEx>
          <w:tblCellMar>
            <w:top w:w="0" w:type="dxa"/>
            <w:left w:w="108" w:type="dxa"/>
            <w:bottom w:w="0" w:type="dxa"/>
            <w:right w:w="108" w:type="dxa"/>
          </w:tblCellMar>
        </w:tblPrEx>
        <w:trPr>
          <w:trHeight w:val="285" w:hRule="atLeast"/>
        </w:trPr>
        <w:tc>
          <w:tcPr>
            <w:tcW w:w="640" w:type="dxa"/>
            <w:tcBorders>
              <w:top w:val="nil"/>
              <w:left w:val="single" w:color="auto" w:sz="4" w:space="0"/>
              <w:bottom w:val="single" w:color="auto" w:sz="4" w:space="0"/>
              <w:right w:val="single" w:color="auto" w:sz="4" w:space="0"/>
            </w:tcBorders>
            <w:noWrap/>
            <w:vAlign w:val="center"/>
          </w:tcPr>
          <w:p>
            <w:pPr>
              <w:widowControl/>
              <w:jc w:val="right"/>
              <w:rPr>
                <w:rFonts w:ascii="宋体" w:hAnsi="宋体" w:cs="宋体"/>
                <w:kern w:val="0"/>
                <w:szCs w:val="21"/>
              </w:rPr>
            </w:pPr>
            <w:r>
              <w:rPr>
                <w:rFonts w:ascii="宋体" w:hAnsi="宋体" w:cs="宋体"/>
                <w:kern w:val="0"/>
                <w:szCs w:val="21"/>
              </w:rPr>
              <w:t>6</w:t>
            </w:r>
          </w:p>
        </w:tc>
        <w:tc>
          <w:tcPr>
            <w:tcW w:w="1175" w:type="dxa"/>
            <w:tcBorders>
              <w:top w:val="nil"/>
              <w:left w:val="nil"/>
              <w:bottom w:val="single" w:color="auto" w:sz="4" w:space="0"/>
              <w:right w:val="single" w:color="auto" w:sz="4" w:space="0"/>
            </w:tcBorders>
            <w:noWrap/>
            <w:vAlign w:val="center"/>
          </w:tcPr>
          <w:p>
            <w:pPr>
              <w:widowControl/>
              <w:jc w:val="left"/>
              <w:rPr>
                <w:rFonts w:ascii="宋体" w:hAnsi="宋体" w:cs="宋体"/>
                <w:kern w:val="0"/>
                <w:szCs w:val="21"/>
              </w:rPr>
            </w:pPr>
            <w:r>
              <w:rPr>
                <w:rFonts w:hint="eastAsia" w:ascii="宋体" w:hAnsi="宋体" w:cs="宋体"/>
                <w:kern w:val="0"/>
                <w:szCs w:val="21"/>
              </w:rPr>
              <w:t>杜忠实</w:t>
            </w:r>
          </w:p>
        </w:tc>
        <w:tc>
          <w:tcPr>
            <w:tcW w:w="1578" w:type="dxa"/>
            <w:tcBorders>
              <w:top w:val="nil"/>
              <w:left w:val="nil"/>
              <w:bottom w:val="single" w:color="auto" w:sz="4" w:space="0"/>
              <w:right w:val="single" w:color="auto" w:sz="4" w:space="0"/>
            </w:tcBorders>
            <w:noWrap/>
          </w:tcPr>
          <w:p>
            <w:pPr>
              <w:widowControl/>
              <w:jc w:val="left"/>
              <w:rPr>
                <w:rFonts w:ascii="宋体" w:hAnsi="宋体" w:cs="宋体"/>
                <w:kern w:val="0"/>
                <w:szCs w:val="21"/>
              </w:rPr>
            </w:pPr>
            <w:r>
              <w:rPr>
                <w:rFonts w:hint="eastAsia" w:ascii="宋体" w:hAnsi="宋体" w:cs="宋体"/>
                <w:kern w:val="0"/>
                <w:szCs w:val="21"/>
              </w:rPr>
              <w:t>副主任医师</w:t>
            </w:r>
          </w:p>
        </w:tc>
        <w:tc>
          <w:tcPr>
            <w:tcW w:w="762" w:type="dxa"/>
            <w:tcBorders>
              <w:top w:val="nil"/>
              <w:left w:val="nil"/>
              <w:bottom w:val="single" w:color="auto" w:sz="4" w:space="0"/>
              <w:right w:val="single" w:color="auto" w:sz="4" w:space="0"/>
            </w:tcBorders>
            <w:noWrap/>
            <w:vAlign w:val="center"/>
          </w:tcPr>
          <w:p>
            <w:pPr>
              <w:widowControl/>
              <w:jc w:val="left"/>
              <w:rPr>
                <w:rFonts w:ascii="宋体" w:hAnsi="宋体" w:cs="宋体"/>
                <w:kern w:val="0"/>
                <w:szCs w:val="21"/>
              </w:rPr>
            </w:pPr>
            <w:r>
              <w:rPr>
                <w:rFonts w:hint="eastAsia" w:ascii="宋体" w:hAnsi="宋体" w:cs="宋体"/>
                <w:kern w:val="0"/>
                <w:szCs w:val="21"/>
              </w:rPr>
              <w:t>硕士</w:t>
            </w:r>
          </w:p>
        </w:tc>
        <w:tc>
          <w:tcPr>
            <w:tcW w:w="1080" w:type="dxa"/>
            <w:tcBorders>
              <w:top w:val="nil"/>
              <w:left w:val="nil"/>
              <w:bottom w:val="single" w:color="auto" w:sz="4" w:space="0"/>
              <w:right w:val="single" w:color="auto" w:sz="4" w:space="0"/>
            </w:tcBorders>
            <w:noWrap/>
            <w:vAlign w:val="center"/>
          </w:tcPr>
          <w:p>
            <w:pPr>
              <w:widowControl/>
              <w:jc w:val="left"/>
              <w:rPr>
                <w:rFonts w:ascii="宋体" w:hAnsi="宋体" w:cs="宋体"/>
                <w:kern w:val="0"/>
                <w:szCs w:val="21"/>
              </w:rPr>
            </w:pPr>
            <w:r>
              <w:rPr>
                <w:rFonts w:hint="eastAsia" w:ascii="宋体" w:hAnsi="宋体" w:cs="宋体"/>
                <w:kern w:val="0"/>
                <w:szCs w:val="21"/>
              </w:rPr>
              <w:t>研究生</w:t>
            </w:r>
          </w:p>
        </w:tc>
        <w:tc>
          <w:tcPr>
            <w:tcW w:w="1800"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福建医科大学</w:t>
            </w:r>
          </w:p>
        </w:tc>
        <w:tc>
          <w:tcPr>
            <w:tcW w:w="2774" w:type="dxa"/>
            <w:tcBorders>
              <w:top w:val="nil"/>
              <w:left w:val="nil"/>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介入性超声诊断与治疗</w:t>
            </w:r>
          </w:p>
        </w:tc>
      </w:tr>
      <w:tr>
        <w:tblPrEx>
          <w:tblCellMar>
            <w:top w:w="0" w:type="dxa"/>
            <w:left w:w="108" w:type="dxa"/>
            <w:bottom w:w="0" w:type="dxa"/>
            <w:right w:w="108" w:type="dxa"/>
          </w:tblCellMar>
        </w:tblPrEx>
        <w:trPr>
          <w:trHeight w:val="285" w:hRule="atLeast"/>
        </w:trPr>
        <w:tc>
          <w:tcPr>
            <w:tcW w:w="640" w:type="dxa"/>
            <w:tcBorders>
              <w:top w:val="nil"/>
              <w:left w:val="single" w:color="auto" w:sz="4" w:space="0"/>
              <w:bottom w:val="single" w:color="auto" w:sz="4" w:space="0"/>
              <w:right w:val="single" w:color="auto" w:sz="4" w:space="0"/>
            </w:tcBorders>
            <w:noWrap/>
            <w:vAlign w:val="center"/>
          </w:tcPr>
          <w:p>
            <w:pPr>
              <w:widowControl/>
              <w:jc w:val="right"/>
              <w:rPr>
                <w:rFonts w:ascii="宋体" w:hAnsi="宋体" w:cs="宋体"/>
                <w:kern w:val="0"/>
                <w:szCs w:val="21"/>
              </w:rPr>
            </w:pPr>
            <w:r>
              <w:rPr>
                <w:rFonts w:ascii="宋体" w:hAnsi="宋体" w:cs="宋体"/>
                <w:kern w:val="0"/>
                <w:szCs w:val="21"/>
              </w:rPr>
              <w:t>7</w:t>
            </w:r>
          </w:p>
        </w:tc>
        <w:tc>
          <w:tcPr>
            <w:tcW w:w="1175" w:type="dxa"/>
            <w:tcBorders>
              <w:top w:val="nil"/>
              <w:left w:val="nil"/>
              <w:bottom w:val="single" w:color="auto" w:sz="4" w:space="0"/>
              <w:right w:val="single" w:color="auto" w:sz="4" w:space="0"/>
            </w:tcBorders>
            <w:noWrap/>
            <w:vAlign w:val="center"/>
          </w:tcPr>
          <w:p>
            <w:pPr>
              <w:widowControl/>
              <w:jc w:val="left"/>
              <w:rPr>
                <w:rFonts w:ascii="宋体" w:hAnsi="宋体" w:cs="宋体"/>
                <w:kern w:val="0"/>
                <w:szCs w:val="21"/>
              </w:rPr>
            </w:pPr>
            <w:r>
              <w:rPr>
                <w:rFonts w:hint="eastAsia" w:ascii="宋体" w:hAnsi="宋体" w:cs="宋体"/>
                <w:kern w:val="0"/>
                <w:szCs w:val="21"/>
              </w:rPr>
              <w:t>陈轶洁</w:t>
            </w:r>
          </w:p>
        </w:tc>
        <w:tc>
          <w:tcPr>
            <w:tcW w:w="1578" w:type="dxa"/>
            <w:tcBorders>
              <w:top w:val="nil"/>
              <w:left w:val="nil"/>
              <w:bottom w:val="single" w:color="auto" w:sz="4" w:space="0"/>
              <w:right w:val="single" w:color="auto" w:sz="4" w:space="0"/>
            </w:tcBorders>
            <w:noWrap/>
          </w:tcPr>
          <w:p>
            <w:pPr>
              <w:widowControl/>
              <w:rPr>
                <w:rFonts w:ascii="宋体" w:hAnsi="宋体" w:cs="宋体"/>
                <w:kern w:val="0"/>
                <w:szCs w:val="21"/>
              </w:rPr>
            </w:pPr>
            <w:r>
              <w:rPr>
                <w:rFonts w:hint="eastAsia" w:ascii="宋体" w:hAnsi="宋体" w:cs="宋体"/>
                <w:kern w:val="0"/>
                <w:szCs w:val="21"/>
              </w:rPr>
              <w:t>副主任医师</w:t>
            </w:r>
          </w:p>
        </w:tc>
        <w:tc>
          <w:tcPr>
            <w:tcW w:w="762" w:type="dxa"/>
            <w:tcBorders>
              <w:top w:val="nil"/>
              <w:left w:val="nil"/>
              <w:bottom w:val="single" w:color="auto" w:sz="4" w:space="0"/>
              <w:right w:val="single" w:color="auto" w:sz="4" w:space="0"/>
            </w:tcBorders>
            <w:noWrap/>
            <w:vAlign w:val="center"/>
          </w:tcPr>
          <w:p>
            <w:pPr>
              <w:widowControl/>
              <w:jc w:val="left"/>
              <w:rPr>
                <w:rFonts w:ascii="宋体" w:hAnsi="宋体" w:cs="宋体"/>
                <w:kern w:val="0"/>
                <w:szCs w:val="21"/>
              </w:rPr>
            </w:pPr>
            <w:r>
              <w:rPr>
                <w:rFonts w:hint="eastAsia" w:ascii="宋体" w:hAnsi="宋体" w:cs="宋体"/>
                <w:kern w:val="0"/>
                <w:szCs w:val="21"/>
              </w:rPr>
              <w:t>硕士</w:t>
            </w:r>
          </w:p>
        </w:tc>
        <w:tc>
          <w:tcPr>
            <w:tcW w:w="1080" w:type="dxa"/>
            <w:tcBorders>
              <w:top w:val="nil"/>
              <w:left w:val="nil"/>
              <w:bottom w:val="single" w:color="auto" w:sz="4" w:space="0"/>
              <w:right w:val="single" w:color="auto" w:sz="4" w:space="0"/>
            </w:tcBorders>
            <w:noWrap/>
            <w:vAlign w:val="center"/>
          </w:tcPr>
          <w:p>
            <w:pPr>
              <w:widowControl/>
              <w:jc w:val="left"/>
              <w:rPr>
                <w:rFonts w:ascii="宋体" w:hAnsi="宋体" w:cs="宋体"/>
                <w:kern w:val="0"/>
                <w:szCs w:val="21"/>
              </w:rPr>
            </w:pPr>
            <w:r>
              <w:rPr>
                <w:rFonts w:hint="eastAsia" w:ascii="宋体" w:hAnsi="宋体" w:cs="宋体"/>
                <w:kern w:val="0"/>
                <w:szCs w:val="21"/>
              </w:rPr>
              <w:t>研究生</w:t>
            </w:r>
          </w:p>
        </w:tc>
        <w:tc>
          <w:tcPr>
            <w:tcW w:w="1800"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福建医科大学</w:t>
            </w:r>
          </w:p>
        </w:tc>
        <w:tc>
          <w:tcPr>
            <w:tcW w:w="2774" w:type="dxa"/>
            <w:tcBorders>
              <w:top w:val="nil"/>
              <w:left w:val="nil"/>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乳腺超声诊断、超声造影及介入超声</w:t>
            </w:r>
          </w:p>
        </w:tc>
      </w:tr>
      <w:tr>
        <w:tblPrEx>
          <w:tblCellMar>
            <w:top w:w="0" w:type="dxa"/>
            <w:left w:w="108" w:type="dxa"/>
            <w:bottom w:w="0" w:type="dxa"/>
            <w:right w:w="108" w:type="dxa"/>
          </w:tblCellMar>
        </w:tblPrEx>
        <w:trPr>
          <w:trHeight w:val="285" w:hRule="atLeast"/>
        </w:trPr>
        <w:tc>
          <w:tcPr>
            <w:tcW w:w="640" w:type="dxa"/>
            <w:tcBorders>
              <w:top w:val="nil"/>
              <w:left w:val="single" w:color="auto" w:sz="4" w:space="0"/>
              <w:bottom w:val="single" w:color="auto" w:sz="4" w:space="0"/>
              <w:right w:val="single" w:color="auto" w:sz="4" w:space="0"/>
            </w:tcBorders>
            <w:noWrap/>
            <w:vAlign w:val="center"/>
          </w:tcPr>
          <w:p>
            <w:pPr>
              <w:widowControl/>
              <w:jc w:val="right"/>
              <w:rPr>
                <w:rFonts w:ascii="宋体" w:hAnsi="宋体" w:cs="宋体"/>
                <w:kern w:val="0"/>
                <w:szCs w:val="21"/>
              </w:rPr>
            </w:pPr>
            <w:bookmarkStart w:id="3" w:name="_Hlk159388701"/>
            <w:r>
              <w:rPr>
                <w:rFonts w:ascii="宋体" w:hAnsi="宋体" w:cs="宋体"/>
                <w:kern w:val="0"/>
                <w:szCs w:val="21"/>
              </w:rPr>
              <w:t>8</w:t>
            </w:r>
          </w:p>
        </w:tc>
        <w:tc>
          <w:tcPr>
            <w:tcW w:w="1175" w:type="dxa"/>
            <w:tcBorders>
              <w:top w:val="nil"/>
              <w:left w:val="nil"/>
              <w:bottom w:val="single" w:color="auto" w:sz="4" w:space="0"/>
              <w:right w:val="single" w:color="auto" w:sz="4" w:space="0"/>
            </w:tcBorders>
            <w:noWrap/>
            <w:vAlign w:val="center"/>
          </w:tcPr>
          <w:p>
            <w:pPr>
              <w:widowControl/>
              <w:jc w:val="left"/>
              <w:rPr>
                <w:rFonts w:ascii="宋体" w:hAnsi="宋体" w:cs="宋体"/>
                <w:kern w:val="0"/>
                <w:szCs w:val="21"/>
              </w:rPr>
            </w:pPr>
            <w:r>
              <w:rPr>
                <w:rFonts w:hint="eastAsia" w:ascii="宋体" w:hAnsi="宋体" w:cs="宋体"/>
                <w:kern w:val="0"/>
                <w:szCs w:val="21"/>
              </w:rPr>
              <w:t>邓小红</w:t>
            </w:r>
          </w:p>
        </w:tc>
        <w:tc>
          <w:tcPr>
            <w:tcW w:w="1578" w:type="dxa"/>
            <w:tcBorders>
              <w:top w:val="nil"/>
              <w:left w:val="nil"/>
              <w:bottom w:val="single" w:color="auto" w:sz="4" w:space="0"/>
              <w:right w:val="single" w:color="auto" w:sz="4" w:space="0"/>
            </w:tcBorders>
            <w:noWrap/>
          </w:tcPr>
          <w:p>
            <w:pPr>
              <w:widowControl/>
              <w:jc w:val="left"/>
              <w:rPr>
                <w:rFonts w:ascii="宋体" w:hAnsi="宋体" w:cs="宋体"/>
                <w:kern w:val="0"/>
                <w:szCs w:val="21"/>
              </w:rPr>
            </w:pPr>
            <w:r>
              <w:rPr>
                <w:rFonts w:hint="eastAsia" w:ascii="宋体" w:hAnsi="宋体" w:cs="宋体"/>
                <w:kern w:val="0"/>
                <w:szCs w:val="21"/>
              </w:rPr>
              <w:t>副主任医师</w:t>
            </w:r>
          </w:p>
        </w:tc>
        <w:tc>
          <w:tcPr>
            <w:tcW w:w="762" w:type="dxa"/>
            <w:tcBorders>
              <w:top w:val="nil"/>
              <w:left w:val="nil"/>
              <w:bottom w:val="single" w:color="auto" w:sz="4" w:space="0"/>
              <w:right w:val="single" w:color="auto" w:sz="4" w:space="0"/>
            </w:tcBorders>
            <w:noWrap/>
            <w:vAlign w:val="center"/>
          </w:tcPr>
          <w:p>
            <w:pPr>
              <w:widowControl/>
              <w:jc w:val="left"/>
              <w:rPr>
                <w:rFonts w:ascii="宋体" w:hAnsi="宋体" w:cs="宋体"/>
                <w:kern w:val="0"/>
                <w:szCs w:val="21"/>
              </w:rPr>
            </w:pPr>
            <w:r>
              <w:rPr>
                <w:rFonts w:hint="eastAsia" w:ascii="宋体" w:hAnsi="宋体" w:cs="宋体"/>
                <w:kern w:val="0"/>
                <w:szCs w:val="21"/>
              </w:rPr>
              <w:t>硕士</w:t>
            </w:r>
          </w:p>
        </w:tc>
        <w:tc>
          <w:tcPr>
            <w:tcW w:w="1080" w:type="dxa"/>
            <w:tcBorders>
              <w:top w:val="nil"/>
              <w:left w:val="nil"/>
              <w:bottom w:val="single" w:color="auto" w:sz="4" w:space="0"/>
              <w:right w:val="single" w:color="auto" w:sz="4" w:space="0"/>
            </w:tcBorders>
            <w:noWrap/>
            <w:vAlign w:val="center"/>
          </w:tcPr>
          <w:p>
            <w:pPr>
              <w:widowControl/>
              <w:jc w:val="left"/>
              <w:rPr>
                <w:rFonts w:ascii="宋体" w:hAnsi="宋体" w:cs="宋体"/>
                <w:kern w:val="0"/>
                <w:szCs w:val="21"/>
              </w:rPr>
            </w:pPr>
            <w:r>
              <w:rPr>
                <w:rFonts w:hint="eastAsia" w:ascii="宋体" w:hAnsi="宋体" w:cs="宋体"/>
                <w:kern w:val="0"/>
                <w:szCs w:val="21"/>
              </w:rPr>
              <w:t>研究生</w:t>
            </w:r>
          </w:p>
        </w:tc>
        <w:tc>
          <w:tcPr>
            <w:tcW w:w="1800"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福建医科大学</w:t>
            </w:r>
          </w:p>
        </w:tc>
        <w:tc>
          <w:tcPr>
            <w:tcW w:w="2774" w:type="dxa"/>
            <w:tcBorders>
              <w:top w:val="nil"/>
              <w:left w:val="nil"/>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胃肠疾病的超声诊断</w:t>
            </w:r>
          </w:p>
        </w:tc>
      </w:tr>
      <w:bookmarkEnd w:id="3"/>
      <w:tr>
        <w:tblPrEx>
          <w:tblCellMar>
            <w:top w:w="0" w:type="dxa"/>
            <w:left w:w="108" w:type="dxa"/>
            <w:bottom w:w="0" w:type="dxa"/>
            <w:right w:w="108" w:type="dxa"/>
          </w:tblCellMar>
        </w:tblPrEx>
        <w:trPr>
          <w:trHeight w:val="285" w:hRule="atLeast"/>
        </w:trPr>
        <w:tc>
          <w:tcPr>
            <w:tcW w:w="640" w:type="dxa"/>
            <w:tcBorders>
              <w:top w:val="nil"/>
              <w:left w:val="single" w:color="auto" w:sz="4" w:space="0"/>
              <w:bottom w:val="single" w:color="auto" w:sz="4" w:space="0"/>
              <w:right w:val="single" w:color="auto" w:sz="4" w:space="0"/>
            </w:tcBorders>
            <w:noWrap/>
            <w:vAlign w:val="center"/>
          </w:tcPr>
          <w:p>
            <w:pPr>
              <w:widowControl/>
              <w:jc w:val="right"/>
              <w:rPr>
                <w:rFonts w:ascii="宋体" w:hAnsi="宋体" w:cs="宋体"/>
                <w:kern w:val="0"/>
                <w:szCs w:val="21"/>
              </w:rPr>
            </w:pPr>
            <w:r>
              <w:rPr>
                <w:rFonts w:ascii="宋体" w:hAnsi="宋体" w:cs="宋体"/>
                <w:kern w:val="0"/>
                <w:szCs w:val="21"/>
              </w:rPr>
              <w:t>9</w:t>
            </w:r>
          </w:p>
        </w:tc>
        <w:tc>
          <w:tcPr>
            <w:tcW w:w="1175" w:type="dxa"/>
            <w:tcBorders>
              <w:top w:val="nil"/>
              <w:left w:val="nil"/>
              <w:bottom w:val="single" w:color="auto" w:sz="4" w:space="0"/>
              <w:right w:val="single" w:color="auto" w:sz="4" w:space="0"/>
            </w:tcBorders>
            <w:noWrap/>
            <w:vAlign w:val="center"/>
          </w:tcPr>
          <w:p>
            <w:pPr>
              <w:widowControl/>
              <w:jc w:val="left"/>
              <w:rPr>
                <w:rFonts w:ascii="宋体" w:hAnsi="宋体" w:cs="宋体"/>
                <w:kern w:val="0"/>
                <w:szCs w:val="21"/>
              </w:rPr>
            </w:pPr>
            <w:r>
              <w:rPr>
                <w:rFonts w:hint="eastAsia" w:ascii="宋体" w:hAnsi="宋体" w:cs="宋体"/>
                <w:kern w:val="0"/>
                <w:szCs w:val="21"/>
              </w:rPr>
              <w:t>柯晓慧</w:t>
            </w:r>
          </w:p>
        </w:tc>
        <w:tc>
          <w:tcPr>
            <w:tcW w:w="1578" w:type="dxa"/>
            <w:tcBorders>
              <w:top w:val="nil"/>
              <w:left w:val="nil"/>
              <w:bottom w:val="single" w:color="auto" w:sz="4" w:space="0"/>
              <w:right w:val="single" w:color="auto" w:sz="4" w:space="0"/>
            </w:tcBorders>
            <w:noWrap/>
          </w:tcPr>
          <w:p>
            <w:pPr>
              <w:widowControl/>
              <w:jc w:val="left"/>
              <w:rPr>
                <w:rFonts w:ascii="宋体" w:hAnsi="宋体" w:cs="宋体"/>
                <w:kern w:val="0"/>
                <w:szCs w:val="21"/>
              </w:rPr>
            </w:pPr>
            <w:bookmarkStart w:id="4" w:name="OLE_LINK3"/>
            <w:r>
              <w:rPr>
                <w:rFonts w:hint="eastAsia" w:ascii="宋体" w:hAnsi="宋体" w:cs="宋体"/>
                <w:kern w:val="0"/>
                <w:szCs w:val="21"/>
              </w:rPr>
              <w:t>主治医师</w:t>
            </w:r>
            <w:bookmarkEnd w:id="4"/>
          </w:p>
        </w:tc>
        <w:tc>
          <w:tcPr>
            <w:tcW w:w="762" w:type="dxa"/>
            <w:tcBorders>
              <w:top w:val="nil"/>
              <w:left w:val="nil"/>
              <w:bottom w:val="single" w:color="auto" w:sz="4" w:space="0"/>
              <w:right w:val="single" w:color="auto" w:sz="4" w:space="0"/>
            </w:tcBorders>
            <w:noWrap/>
            <w:vAlign w:val="center"/>
          </w:tcPr>
          <w:p>
            <w:pPr>
              <w:widowControl/>
              <w:jc w:val="left"/>
              <w:rPr>
                <w:rFonts w:ascii="宋体" w:hAnsi="宋体" w:cs="宋体"/>
                <w:kern w:val="0"/>
                <w:szCs w:val="21"/>
              </w:rPr>
            </w:pPr>
            <w:r>
              <w:rPr>
                <w:rFonts w:hint="eastAsia" w:ascii="宋体" w:hAnsi="宋体" w:cs="宋体"/>
                <w:kern w:val="0"/>
                <w:szCs w:val="21"/>
              </w:rPr>
              <w:t>本科</w:t>
            </w:r>
          </w:p>
        </w:tc>
        <w:tc>
          <w:tcPr>
            <w:tcW w:w="1080" w:type="dxa"/>
            <w:tcBorders>
              <w:top w:val="nil"/>
              <w:left w:val="nil"/>
              <w:bottom w:val="single" w:color="auto" w:sz="4" w:space="0"/>
              <w:right w:val="single" w:color="auto" w:sz="4" w:space="0"/>
            </w:tcBorders>
            <w:noWrap/>
            <w:vAlign w:val="center"/>
          </w:tcPr>
          <w:p>
            <w:pPr>
              <w:widowControl/>
              <w:jc w:val="left"/>
              <w:rPr>
                <w:rFonts w:ascii="宋体" w:hAnsi="宋体" w:cs="宋体"/>
                <w:kern w:val="0"/>
                <w:szCs w:val="21"/>
              </w:rPr>
            </w:pPr>
            <w:r>
              <w:rPr>
                <w:rFonts w:hint="eastAsia" w:ascii="宋体" w:hAnsi="宋体" w:cs="宋体"/>
                <w:kern w:val="0"/>
                <w:szCs w:val="21"/>
              </w:rPr>
              <w:t>本科</w:t>
            </w:r>
          </w:p>
        </w:tc>
        <w:tc>
          <w:tcPr>
            <w:tcW w:w="1800"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福建医科大学</w:t>
            </w:r>
          </w:p>
        </w:tc>
        <w:tc>
          <w:tcPr>
            <w:tcW w:w="2774" w:type="dxa"/>
            <w:tcBorders>
              <w:top w:val="nil"/>
              <w:left w:val="nil"/>
              <w:bottom w:val="single" w:color="auto" w:sz="4" w:space="0"/>
              <w:right w:val="single" w:color="auto" w:sz="4" w:space="0"/>
            </w:tcBorders>
            <w:noWrap/>
            <w:vAlign w:val="center"/>
          </w:tcPr>
          <w:p>
            <w:pPr>
              <w:widowControl/>
              <w:jc w:val="left"/>
              <w:rPr>
                <w:rFonts w:ascii="宋体" w:hAnsi="宋体" w:cs="宋体"/>
                <w:kern w:val="0"/>
                <w:szCs w:val="21"/>
              </w:rPr>
            </w:pPr>
            <w:r>
              <w:rPr>
                <w:rFonts w:hint="eastAsia" w:ascii="宋体" w:hAnsi="宋体" w:cs="宋体"/>
                <w:kern w:val="0"/>
                <w:szCs w:val="21"/>
              </w:rPr>
              <w:t>乳腺、胃肠疾病超声诊断</w:t>
            </w:r>
          </w:p>
        </w:tc>
      </w:tr>
      <w:tr>
        <w:tblPrEx>
          <w:tblCellMar>
            <w:top w:w="0" w:type="dxa"/>
            <w:left w:w="108" w:type="dxa"/>
            <w:bottom w:w="0" w:type="dxa"/>
            <w:right w:w="108" w:type="dxa"/>
          </w:tblCellMar>
        </w:tblPrEx>
        <w:trPr>
          <w:trHeight w:val="285" w:hRule="atLeast"/>
        </w:trPr>
        <w:tc>
          <w:tcPr>
            <w:tcW w:w="640" w:type="dxa"/>
            <w:tcBorders>
              <w:top w:val="nil"/>
              <w:left w:val="single" w:color="auto" w:sz="4" w:space="0"/>
              <w:bottom w:val="single" w:color="auto" w:sz="4" w:space="0"/>
              <w:right w:val="single" w:color="auto" w:sz="4" w:space="0"/>
            </w:tcBorders>
            <w:noWrap/>
            <w:vAlign w:val="center"/>
          </w:tcPr>
          <w:p>
            <w:pPr>
              <w:widowControl/>
              <w:jc w:val="right"/>
              <w:rPr>
                <w:rFonts w:ascii="宋体" w:hAnsi="宋体" w:cs="宋体"/>
                <w:kern w:val="0"/>
                <w:szCs w:val="21"/>
              </w:rPr>
            </w:pPr>
            <w:r>
              <w:rPr>
                <w:rFonts w:ascii="宋体" w:hAnsi="宋体" w:cs="宋体"/>
                <w:kern w:val="0"/>
                <w:szCs w:val="21"/>
              </w:rPr>
              <w:t>10</w:t>
            </w:r>
          </w:p>
        </w:tc>
        <w:tc>
          <w:tcPr>
            <w:tcW w:w="1175" w:type="dxa"/>
            <w:tcBorders>
              <w:top w:val="nil"/>
              <w:left w:val="nil"/>
              <w:bottom w:val="single" w:color="auto" w:sz="4" w:space="0"/>
              <w:right w:val="single" w:color="auto" w:sz="4" w:space="0"/>
            </w:tcBorders>
            <w:noWrap/>
            <w:vAlign w:val="center"/>
          </w:tcPr>
          <w:p>
            <w:pPr>
              <w:widowControl/>
              <w:jc w:val="left"/>
              <w:rPr>
                <w:rFonts w:ascii="宋体" w:hAnsi="宋体" w:cs="宋体"/>
                <w:kern w:val="0"/>
                <w:szCs w:val="21"/>
              </w:rPr>
            </w:pPr>
            <w:r>
              <w:rPr>
                <w:rFonts w:hint="eastAsia" w:ascii="宋体" w:hAnsi="宋体" w:cs="宋体"/>
                <w:kern w:val="0"/>
                <w:szCs w:val="21"/>
              </w:rPr>
              <w:t>刘娜香</w:t>
            </w:r>
          </w:p>
        </w:tc>
        <w:tc>
          <w:tcPr>
            <w:tcW w:w="1578" w:type="dxa"/>
            <w:tcBorders>
              <w:top w:val="nil"/>
              <w:left w:val="nil"/>
              <w:bottom w:val="single" w:color="auto" w:sz="4" w:space="0"/>
              <w:right w:val="single" w:color="auto" w:sz="4" w:space="0"/>
            </w:tcBorders>
            <w:noWrap/>
          </w:tcPr>
          <w:p>
            <w:pPr>
              <w:widowControl/>
              <w:jc w:val="left"/>
              <w:rPr>
                <w:rFonts w:ascii="宋体" w:hAnsi="宋体" w:cs="宋体"/>
                <w:kern w:val="0"/>
                <w:szCs w:val="21"/>
              </w:rPr>
            </w:pPr>
            <w:r>
              <w:rPr>
                <w:rFonts w:hint="eastAsia" w:ascii="宋体" w:hAnsi="宋体" w:cs="宋体"/>
                <w:kern w:val="0"/>
                <w:szCs w:val="21"/>
              </w:rPr>
              <w:t>主治医师</w:t>
            </w:r>
          </w:p>
        </w:tc>
        <w:tc>
          <w:tcPr>
            <w:tcW w:w="762" w:type="dxa"/>
            <w:tcBorders>
              <w:top w:val="nil"/>
              <w:left w:val="nil"/>
              <w:bottom w:val="single" w:color="auto" w:sz="4" w:space="0"/>
              <w:right w:val="single" w:color="auto" w:sz="4" w:space="0"/>
            </w:tcBorders>
            <w:noWrap/>
            <w:vAlign w:val="center"/>
          </w:tcPr>
          <w:p>
            <w:pPr>
              <w:widowControl/>
              <w:jc w:val="left"/>
              <w:rPr>
                <w:rFonts w:ascii="宋体" w:hAnsi="宋体" w:cs="宋体"/>
                <w:kern w:val="0"/>
                <w:szCs w:val="21"/>
              </w:rPr>
            </w:pPr>
            <w:r>
              <w:rPr>
                <w:rFonts w:hint="eastAsia" w:ascii="宋体" w:hAnsi="宋体" w:cs="宋体"/>
                <w:kern w:val="0"/>
                <w:szCs w:val="21"/>
              </w:rPr>
              <w:t>硕士</w:t>
            </w:r>
          </w:p>
        </w:tc>
        <w:tc>
          <w:tcPr>
            <w:tcW w:w="1080" w:type="dxa"/>
            <w:tcBorders>
              <w:top w:val="nil"/>
              <w:left w:val="nil"/>
              <w:bottom w:val="single" w:color="auto" w:sz="4" w:space="0"/>
              <w:right w:val="single" w:color="auto" w:sz="4" w:space="0"/>
            </w:tcBorders>
            <w:noWrap/>
            <w:vAlign w:val="center"/>
          </w:tcPr>
          <w:p>
            <w:pPr>
              <w:widowControl/>
              <w:jc w:val="left"/>
              <w:rPr>
                <w:rFonts w:ascii="宋体" w:hAnsi="宋体" w:cs="宋体"/>
                <w:kern w:val="0"/>
                <w:szCs w:val="21"/>
              </w:rPr>
            </w:pPr>
            <w:r>
              <w:rPr>
                <w:rFonts w:hint="eastAsia" w:ascii="宋体" w:hAnsi="宋体" w:cs="宋体"/>
                <w:kern w:val="0"/>
                <w:szCs w:val="21"/>
              </w:rPr>
              <w:t>研究生</w:t>
            </w:r>
          </w:p>
        </w:tc>
        <w:tc>
          <w:tcPr>
            <w:tcW w:w="1800"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华中科技大学</w:t>
            </w:r>
          </w:p>
        </w:tc>
        <w:tc>
          <w:tcPr>
            <w:tcW w:w="2774" w:type="dxa"/>
            <w:tcBorders>
              <w:top w:val="nil"/>
              <w:left w:val="nil"/>
              <w:bottom w:val="single" w:color="auto" w:sz="4" w:space="0"/>
              <w:right w:val="single" w:color="auto" w:sz="4" w:space="0"/>
            </w:tcBorders>
            <w:noWrap/>
            <w:vAlign w:val="center"/>
          </w:tcPr>
          <w:p>
            <w:pPr>
              <w:widowControl/>
              <w:jc w:val="left"/>
              <w:rPr>
                <w:rFonts w:ascii="宋体" w:hAnsi="宋体" w:cs="宋体"/>
                <w:kern w:val="0"/>
                <w:szCs w:val="21"/>
              </w:rPr>
            </w:pPr>
            <w:r>
              <w:rPr>
                <w:rFonts w:hint="eastAsia" w:ascii="宋体" w:hAnsi="宋体" w:cs="宋体"/>
                <w:kern w:val="0"/>
                <w:szCs w:val="21"/>
              </w:rPr>
              <w:t>甲状腺、淋巴结、肝脏疾病的超声及超声造影</w:t>
            </w:r>
          </w:p>
        </w:tc>
      </w:tr>
      <w:tr>
        <w:tblPrEx>
          <w:tblCellMar>
            <w:top w:w="0" w:type="dxa"/>
            <w:left w:w="108" w:type="dxa"/>
            <w:bottom w:w="0" w:type="dxa"/>
            <w:right w:w="108" w:type="dxa"/>
          </w:tblCellMar>
        </w:tblPrEx>
        <w:trPr>
          <w:trHeight w:val="285" w:hRule="atLeast"/>
        </w:trPr>
        <w:tc>
          <w:tcPr>
            <w:tcW w:w="640" w:type="dxa"/>
            <w:tcBorders>
              <w:top w:val="nil"/>
              <w:left w:val="single" w:color="auto" w:sz="4" w:space="0"/>
              <w:bottom w:val="single" w:color="auto" w:sz="4" w:space="0"/>
              <w:right w:val="single" w:color="auto" w:sz="4" w:space="0"/>
            </w:tcBorders>
            <w:noWrap/>
            <w:vAlign w:val="center"/>
          </w:tcPr>
          <w:p>
            <w:pPr>
              <w:widowControl/>
              <w:jc w:val="right"/>
              <w:rPr>
                <w:rFonts w:ascii="宋体" w:hAnsi="宋体" w:cs="宋体"/>
                <w:kern w:val="0"/>
                <w:szCs w:val="21"/>
              </w:rPr>
            </w:pPr>
            <w:r>
              <w:rPr>
                <w:rFonts w:hint="eastAsia" w:ascii="宋体" w:hAnsi="宋体" w:cs="宋体"/>
                <w:kern w:val="0"/>
                <w:szCs w:val="21"/>
              </w:rPr>
              <w:t>1</w:t>
            </w:r>
            <w:r>
              <w:rPr>
                <w:rFonts w:ascii="宋体" w:hAnsi="宋体" w:cs="宋体"/>
                <w:kern w:val="0"/>
                <w:szCs w:val="21"/>
              </w:rPr>
              <w:t>1</w:t>
            </w:r>
          </w:p>
        </w:tc>
        <w:tc>
          <w:tcPr>
            <w:tcW w:w="1175" w:type="dxa"/>
            <w:tcBorders>
              <w:top w:val="nil"/>
              <w:left w:val="nil"/>
              <w:bottom w:val="single" w:color="auto" w:sz="4" w:space="0"/>
              <w:right w:val="single" w:color="auto" w:sz="4" w:space="0"/>
            </w:tcBorders>
            <w:noWrap/>
            <w:vAlign w:val="center"/>
          </w:tcPr>
          <w:p>
            <w:pPr>
              <w:widowControl/>
              <w:jc w:val="left"/>
              <w:rPr>
                <w:rFonts w:ascii="宋体" w:hAnsi="宋体" w:cs="宋体"/>
                <w:kern w:val="0"/>
                <w:szCs w:val="21"/>
              </w:rPr>
            </w:pPr>
            <w:r>
              <w:rPr>
                <w:rFonts w:hint="eastAsia" w:ascii="宋体" w:hAnsi="宋体" w:cs="宋体"/>
                <w:kern w:val="0"/>
                <w:szCs w:val="21"/>
              </w:rPr>
              <w:t>林文荣</w:t>
            </w:r>
          </w:p>
        </w:tc>
        <w:tc>
          <w:tcPr>
            <w:tcW w:w="1578" w:type="dxa"/>
            <w:tcBorders>
              <w:top w:val="nil"/>
              <w:left w:val="nil"/>
              <w:bottom w:val="single" w:color="auto" w:sz="4" w:space="0"/>
              <w:right w:val="single" w:color="auto" w:sz="4" w:space="0"/>
            </w:tcBorders>
            <w:noWrap/>
          </w:tcPr>
          <w:p>
            <w:pPr>
              <w:widowControl/>
              <w:jc w:val="left"/>
              <w:rPr>
                <w:rFonts w:ascii="宋体" w:hAnsi="宋体" w:cs="宋体"/>
                <w:kern w:val="0"/>
                <w:szCs w:val="21"/>
              </w:rPr>
            </w:pPr>
            <w:r>
              <w:rPr>
                <w:rFonts w:hint="eastAsia" w:ascii="宋体" w:hAnsi="宋体" w:cs="宋体"/>
                <w:kern w:val="0"/>
                <w:szCs w:val="21"/>
              </w:rPr>
              <w:t>主治医师</w:t>
            </w:r>
          </w:p>
        </w:tc>
        <w:tc>
          <w:tcPr>
            <w:tcW w:w="762" w:type="dxa"/>
            <w:tcBorders>
              <w:top w:val="nil"/>
              <w:left w:val="nil"/>
              <w:bottom w:val="single" w:color="auto" w:sz="4" w:space="0"/>
              <w:right w:val="single" w:color="auto" w:sz="4" w:space="0"/>
            </w:tcBorders>
            <w:noWrap/>
            <w:vAlign w:val="center"/>
          </w:tcPr>
          <w:p>
            <w:pPr>
              <w:widowControl/>
              <w:jc w:val="left"/>
              <w:rPr>
                <w:rFonts w:ascii="宋体" w:hAnsi="宋体" w:cs="宋体"/>
                <w:kern w:val="0"/>
                <w:szCs w:val="21"/>
              </w:rPr>
            </w:pPr>
            <w:r>
              <w:rPr>
                <w:rFonts w:hint="eastAsia" w:ascii="宋体" w:hAnsi="宋体" w:cs="宋体"/>
                <w:kern w:val="0"/>
                <w:szCs w:val="21"/>
              </w:rPr>
              <w:t>硕士</w:t>
            </w:r>
          </w:p>
        </w:tc>
        <w:tc>
          <w:tcPr>
            <w:tcW w:w="1080" w:type="dxa"/>
            <w:tcBorders>
              <w:top w:val="nil"/>
              <w:left w:val="nil"/>
              <w:bottom w:val="single" w:color="auto" w:sz="4" w:space="0"/>
              <w:right w:val="single" w:color="auto" w:sz="4" w:space="0"/>
            </w:tcBorders>
            <w:noWrap/>
            <w:vAlign w:val="center"/>
          </w:tcPr>
          <w:p>
            <w:pPr>
              <w:widowControl/>
              <w:jc w:val="left"/>
              <w:rPr>
                <w:rFonts w:ascii="宋体" w:hAnsi="宋体" w:cs="宋体"/>
                <w:kern w:val="0"/>
                <w:szCs w:val="21"/>
              </w:rPr>
            </w:pPr>
            <w:r>
              <w:rPr>
                <w:rFonts w:hint="eastAsia" w:ascii="宋体" w:hAnsi="宋体" w:cs="宋体"/>
                <w:kern w:val="0"/>
                <w:szCs w:val="21"/>
              </w:rPr>
              <w:t>研究生</w:t>
            </w:r>
          </w:p>
        </w:tc>
        <w:tc>
          <w:tcPr>
            <w:tcW w:w="1800"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福建医科大学</w:t>
            </w:r>
          </w:p>
        </w:tc>
        <w:tc>
          <w:tcPr>
            <w:tcW w:w="2774" w:type="dxa"/>
            <w:tcBorders>
              <w:top w:val="nil"/>
              <w:left w:val="nil"/>
              <w:bottom w:val="single" w:color="auto" w:sz="4" w:space="0"/>
              <w:right w:val="single" w:color="auto" w:sz="4" w:space="0"/>
            </w:tcBorders>
            <w:noWrap/>
            <w:vAlign w:val="center"/>
          </w:tcPr>
          <w:p>
            <w:pPr>
              <w:widowControl/>
              <w:jc w:val="left"/>
              <w:rPr>
                <w:rFonts w:ascii="宋体" w:hAnsi="宋体" w:cs="宋体"/>
                <w:kern w:val="0"/>
                <w:szCs w:val="21"/>
              </w:rPr>
            </w:pPr>
            <w:r>
              <w:rPr>
                <w:rFonts w:hint="eastAsia" w:ascii="宋体" w:hAnsi="宋体" w:cs="宋体"/>
                <w:kern w:val="0"/>
                <w:szCs w:val="21"/>
              </w:rPr>
              <w:t>甲状腺、乳腺超声诊断</w:t>
            </w:r>
          </w:p>
        </w:tc>
      </w:tr>
      <w:tr>
        <w:tblPrEx>
          <w:tblCellMar>
            <w:top w:w="0" w:type="dxa"/>
            <w:left w:w="108" w:type="dxa"/>
            <w:bottom w:w="0" w:type="dxa"/>
            <w:right w:w="108" w:type="dxa"/>
          </w:tblCellMar>
        </w:tblPrEx>
        <w:trPr>
          <w:trHeight w:val="285" w:hRule="atLeast"/>
        </w:trPr>
        <w:tc>
          <w:tcPr>
            <w:tcW w:w="640" w:type="dxa"/>
            <w:tcBorders>
              <w:top w:val="nil"/>
              <w:left w:val="nil"/>
              <w:bottom w:val="nil"/>
              <w:right w:val="nil"/>
            </w:tcBorders>
            <w:noWrap/>
            <w:vAlign w:val="center"/>
          </w:tcPr>
          <w:p>
            <w:pPr>
              <w:widowControl/>
              <w:jc w:val="left"/>
              <w:rPr>
                <w:rFonts w:ascii="宋体" w:cs="宋体"/>
                <w:kern w:val="0"/>
                <w:sz w:val="24"/>
              </w:rPr>
            </w:pPr>
          </w:p>
        </w:tc>
        <w:tc>
          <w:tcPr>
            <w:tcW w:w="1175" w:type="dxa"/>
            <w:tcBorders>
              <w:top w:val="nil"/>
              <w:left w:val="nil"/>
              <w:bottom w:val="nil"/>
              <w:right w:val="nil"/>
            </w:tcBorders>
            <w:noWrap/>
            <w:vAlign w:val="center"/>
          </w:tcPr>
          <w:p>
            <w:pPr>
              <w:widowControl/>
              <w:jc w:val="left"/>
              <w:rPr>
                <w:rFonts w:ascii="宋体" w:cs="宋体"/>
                <w:kern w:val="0"/>
                <w:sz w:val="24"/>
              </w:rPr>
            </w:pPr>
          </w:p>
        </w:tc>
        <w:tc>
          <w:tcPr>
            <w:tcW w:w="1578" w:type="dxa"/>
            <w:tcBorders>
              <w:top w:val="nil"/>
              <w:left w:val="nil"/>
              <w:bottom w:val="nil"/>
              <w:right w:val="nil"/>
            </w:tcBorders>
            <w:noWrap/>
            <w:vAlign w:val="center"/>
          </w:tcPr>
          <w:p>
            <w:pPr>
              <w:widowControl/>
              <w:jc w:val="left"/>
              <w:rPr>
                <w:rFonts w:ascii="宋体" w:cs="宋体"/>
                <w:kern w:val="0"/>
                <w:sz w:val="24"/>
              </w:rPr>
            </w:pPr>
          </w:p>
        </w:tc>
        <w:tc>
          <w:tcPr>
            <w:tcW w:w="762" w:type="dxa"/>
            <w:tcBorders>
              <w:top w:val="nil"/>
              <w:left w:val="nil"/>
              <w:bottom w:val="nil"/>
              <w:right w:val="nil"/>
            </w:tcBorders>
            <w:noWrap/>
            <w:vAlign w:val="center"/>
          </w:tcPr>
          <w:p>
            <w:pPr>
              <w:widowControl/>
              <w:jc w:val="left"/>
              <w:rPr>
                <w:rFonts w:ascii="宋体" w:cs="宋体"/>
                <w:kern w:val="0"/>
                <w:sz w:val="24"/>
              </w:rPr>
            </w:pPr>
          </w:p>
        </w:tc>
        <w:tc>
          <w:tcPr>
            <w:tcW w:w="1080" w:type="dxa"/>
            <w:tcBorders>
              <w:top w:val="nil"/>
              <w:left w:val="nil"/>
              <w:bottom w:val="nil"/>
              <w:right w:val="nil"/>
            </w:tcBorders>
            <w:noWrap/>
            <w:vAlign w:val="center"/>
          </w:tcPr>
          <w:p>
            <w:pPr>
              <w:widowControl/>
              <w:jc w:val="left"/>
              <w:rPr>
                <w:rFonts w:ascii="宋体" w:cs="宋体"/>
                <w:kern w:val="0"/>
                <w:sz w:val="24"/>
              </w:rPr>
            </w:pPr>
          </w:p>
        </w:tc>
        <w:tc>
          <w:tcPr>
            <w:tcW w:w="1800" w:type="dxa"/>
            <w:tcBorders>
              <w:top w:val="nil"/>
              <w:left w:val="nil"/>
              <w:bottom w:val="nil"/>
              <w:right w:val="nil"/>
            </w:tcBorders>
            <w:noWrap/>
            <w:vAlign w:val="center"/>
          </w:tcPr>
          <w:p>
            <w:pPr>
              <w:widowControl/>
              <w:jc w:val="left"/>
              <w:rPr>
                <w:rFonts w:ascii="宋体" w:cs="宋体"/>
                <w:kern w:val="0"/>
                <w:sz w:val="24"/>
              </w:rPr>
            </w:pPr>
          </w:p>
        </w:tc>
        <w:tc>
          <w:tcPr>
            <w:tcW w:w="2774" w:type="dxa"/>
            <w:tcBorders>
              <w:top w:val="nil"/>
              <w:left w:val="nil"/>
              <w:bottom w:val="nil"/>
              <w:right w:val="nil"/>
            </w:tcBorders>
            <w:noWrap/>
            <w:vAlign w:val="center"/>
          </w:tcPr>
          <w:p>
            <w:pPr>
              <w:widowControl/>
              <w:jc w:val="left"/>
              <w:rPr>
                <w:rFonts w:ascii="宋体" w:cs="宋体"/>
                <w:kern w:val="0"/>
                <w:sz w:val="24"/>
              </w:rPr>
            </w:pPr>
          </w:p>
        </w:tc>
      </w:tr>
    </w:tbl>
    <w:p/>
    <w:p>
      <w:pPr>
        <w:rPr>
          <w:rFonts w:ascii="黑体" w:hAnsi="黑体" w:eastAsia="黑体" w:cs="黑体"/>
          <w:sz w:val="32"/>
          <w:szCs w:val="32"/>
        </w:rPr>
      </w:pPr>
      <w:r>
        <w:rPr>
          <w:rFonts w:ascii="黑体" w:hAnsi="黑体" w:eastAsia="黑体" w:cs="黑体"/>
          <w:sz w:val="32"/>
          <w:szCs w:val="32"/>
        </w:rPr>
        <w:br w:type="page"/>
      </w:r>
      <w:bookmarkStart w:id="5" w:name="_Toc501191608"/>
      <w:r>
        <w:rPr>
          <w:rFonts w:hint="eastAsia" w:ascii="黑体" w:hAnsi="黑体" w:eastAsia="黑体" w:cs="黑体"/>
          <w:sz w:val="32"/>
          <w:szCs w:val="32"/>
        </w:rPr>
        <w:t>进修生招收要求：</w:t>
      </w:r>
      <w:bookmarkEnd w:id="5"/>
    </w:p>
    <w:p>
      <w:pPr>
        <w:spacing w:line="360" w:lineRule="auto"/>
        <w:ind w:firstLine="560" w:firstLineChars="200"/>
        <w:rPr>
          <w:rFonts w:ascii="宋体"/>
          <w:sz w:val="28"/>
          <w:szCs w:val="28"/>
        </w:rPr>
      </w:pPr>
      <w:r>
        <w:rPr>
          <w:rFonts w:hint="eastAsia" w:ascii="宋体" w:hAnsi="宋体"/>
          <w:sz w:val="28"/>
          <w:szCs w:val="28"/>
        </w:rPr>
        <w:t>招收时间：</w:t>
      </w:r>
      <w:bookmarkStart w:id="16" w:name="_GoBack"/>
      <w:r>
        <w:rPr>
          <w:rFonts w:hint="eastAsia" w:ascii="宋体" w:hAnsi="宋体"/>
          <w:sz w:val="28"/>
          <w:szCs w:val="28"/>
        </w:rPr>
        <w:t>每年1月-</w:t>
      </w:r>
      <w:r>
        <w:rPr>
          <w:rFonts w:ascii="宋体" w:hAnsi="宋体"/>
          <w:sz w:val="28"/>
          <w:szCs w:val="28"/>
        </w:rPr>
        <w:t>12</w:t>
      </w:r>
      <w:r>
        <w:rPr>
          <w:rFonts w:hint="eastAsia" w:ascii="宋体" w:hAnsi="宋体"/>
          <w:sz w:val="28"/>
          <w:szCs w:val="28"/>
        </w:rPr>
        <w:t>月</w:t>
      </w:r>
    </w:p>
    <w:bookmarkEnd w:id="16"/>
    <w:p>
      <w:pPr>
        <w:spacing w:line="360" w:lineRule="auto"/>
        <w:ind w:firstLine="560" w:firstLineChars="200"/>
        <w:rPr>
          <w:rFonts w:ascii="宋体"/>
          <w:sz w:val="28"/>
          <w:szCs w:val="28"/>
        </w:rPr>
      </w:pPr>
      <w:r>
        <w:rPr>
          <w:rFonts w:hint="eastAsia" w:ascii="宋体" w:hAnsi="宋体"/>
          <w:sz w:val="28"/>
          <w:szCs w:val="28"/>
        </w:rPr>
        <w:t>条件要求（学历、年龄等）：超声、临床专业的相关医务人员；原则上要求本科以上学历（特殊情况大专学历也可），具备执业医师资格证及注册证；无年龄限制。</w:t>
      </w:r>
    </w:p>
    <w:p>
      <w:pPr>
        <w:spacing w:line="360" w:lineRule="auto"/>
        <w:ind w:firstLine="560" w:firstLineChars="200"/>
        <w:rPr>
          <w:rFonts w:ascii="宋体"/>
          <w:sz w:val="28"/>
          <w:szCs w:val="28"/>
        </w:rPr>
      </w:pPr>
      <w:r>
        <w:rPr>
          <w:rFonts w:hint="eastAsia" w:ascii="宋体" w:hAnsi="宋体"/>
          <w:sz w:val="28"/>
          <w:szCs w:val="28"/>
        </w:rPr>
        <w:t>进修时限要求</w:t>
      </w:r>
      <w:r>
        <w:rPr>
          <w:rFonts w:ascii="宋体" w:hAnsi="宋体"/>
          <w:sz w:val="28"/>
          <w:szCs w:val="28"/>
        </w:rPr>
        <w:t xml:space="preserve"> </w:t>
      </w:r>
      <w:r>
        <w:rPr>
          <w:rFonts w:hint="eastAsia" w:ascii="宋体" w:hAnsi="宋体"/>
          <w:sz w:val="28"/>
          <w:szCs w:val="28"/>
        </w:rPr>
        <w:t>：</w:t>
      </w:r>
      <w:r>
        <w:rPr>
          <w:rFonts w:ascii="宋体" w:hAnsi="宋体"/>
          <w:sz w:val="28"/>
          <w:szCs w:val="28"/>
        </w:rPr>
        <w:t>6</w:t>
      </w:r>
      <w:r>
        <w:rPr>
          <w:rFonts w:hint="eastAsia" w:ascii="宋体" w:hAnsi="宋体"/>
          <w:sz w:val="28"/>
          <w:szCs w:val="28"/>
        </w:rPr>
        <w:t>个月以上（进修6个月以上由院教育处颁发进修结业证书）。</w:t>
      </w:r>
    </w:p>
    <w:p>
      <w:pPr>
        <w:pStyle w:val="2"/>
        <w:spacing w:line="360" w:lineRule="auto"/>
        <w:rPr>
          <w:rFonts w:ascii="黑体" w:hAnsi="黑体" w:eastAsia="黑体" w:cs="黑体"/>
          <w:sz w:val="32"/>
          <w:szCs w:val="32"/>
        </w:rPr>
      </w:pPr>
      <w:bookmarkStart w:id="6" w:name="_Toc501191609"/>
      <w:r>
        <w:rPr>
          <w:rFonts w:hint="eastAsia" w:ascii="黑体" w:hAnsi="黑体" w:eastAsia="黑体" w:cs="黑体"/>
          <w:sz w:val="32"/>
          <w:szCs w:val="32"/>
        </w:rPr>
        <w:t>进修生培养方案：</w:t>
      </w:r>
      <w:bookmarkEnd w:id="6"/>
    </w:p>
    <w:p>
      <w:pPr>
        <w:ind w:firstLine="560" w:firstLineChars="200"/>
        <w:rPr>
          <w:rFonts w:ascii="宋体" w:cs="宋体"/>
          <w:sz w:val="28"/>
          <w:szCs w:val="28"/>
          <w:shd w:val="clear" w:color="auto" w:fill="FFFFFF"/>
        </w:rPr>
      </w:pPr>
      <w:bookmarkStart w:id="7" w:name="_Toc24369"/>
      <w:bookmarkStart w:id="8" w:name="_Toc13314"/>
      <w:r>
        <w:rPr>
          <w:rFonts w:hint="eastAsia" w:ascii="宋体" w:hAnsi="宋体" w:cs="宋体"/>
          <w:sz w:val="28"/>
          <w:szCs w:val="28"/>
          <w:shd w:val="clear" w:color="auto" w:fill="FFFFFF"/>
        </w:rPr>
        <w:t>培养周期</w:t>
      </w:r>
      <w:r>
        <w:rPr>
          <w:rFonts w:ascii="宋体" w:hAnsi="宋体" w:cs="宋体"/>
          <w:sz w:val="28"/>
          <w:szCs w:val="28"/>
          <w:shd w:val="clear" w:color="auto" w:fill="FFFFFF"/>
        </w:rPr>
        <w:t>6</w:t>
      </w:r>
      <w:r>
        <w:rPr>
          <w:rFonts w:hint="eastAsia" w:ascii="宋体" w:hAnsi="宋体" w:cs="宋体"/>
          <w:sz w:val="28"/>
          <w:szCs w:val="28"/>
          <w:shd w:val="clear" w:color="auto" w:fill="FFFFFF"/>
        </w:rPr>
        <w:t>个月以上，岗位安排在超声科，跟随带教医师完成超声诊断、介入超声及其相关检查工作。也可根据进修生需求着重进修亚专业。每批连同当年入科的规培生进行系列的专题讲座及疑难病例讨论，内容覆盖本学科的理论、技术及最新进展。参加医院组织的各类学术活动。在上级医生的带领指导下，能独立进行常见疾病的超声诊断，介入超声操作，对复杂声像图能进行初步分析，并进行相关的临床病例总结工作；进修结束前需在进修科室进行汇报和总结。</w:t>
      </w:r>
    </w:p>
    <w:bookmarkEnd w:id="7"/>
    <w:bookmarkEnd w:id="8"/>
    <w:p>
      <w:pPr>
        <w:ind w:firstLine="560" w:firstLineChars="200"/>
        <w:rPr>
          <w:rFonts w:ascii="宋体" w:cs="宋体"/>
          <w:b/>
          <w:sz w:val="28"/>
          <w:szCs w:val="28"/>
          <w:shd w:val="clear" w:color="auto" w:fill="FFFFFF"/>
        </w:rPr>
      </w:pPr>
      <w:r>
        <w:rPr>
          <w:rFonts w:ascii="宋体" w:cs="宋体"/>
          <w:sz w:val="28"/>
          <w:szCs w:val="28"/>
          <w:shd w:val="clear" w:color="auto" w:fill="FFFFFF"/>
        </w:rPr>
        <w:br w:type="page"/>
      </w:r>
      <w:r>
        <w:rPr>
          <w:rFonts w:hint="eastAsia" w:ascii="宋体" w:hAnsi="宋体" w:cs="宋体"/>
          <w:b/>
          <w:sz w:val="28"/>
          <w:szCs w:val="28"/>
          <w:shd w:val="clear" w:color="auto" w:fill="FFFFFF"/>
        </w:rPr>
        <w:t>培养内容（六个月）</w:t>
      </w:r>
    </w:p>
    <w:tbl>
      <w:tblPr>
        <w:tblStyle w:val="17"/>
        <w:tblW w:w="84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7"/>
        <w:gridCol w:w="3075"/>
        <w:gridCol w:w="1755"/>
        <w:gridCol w:w="13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7" w:type="dxa"/>
            <w:vAlign w:val="center"/>
          </w:tcPr>
          <w:p>
            <w:pPr>
              <w:jc w:val="center"/>
              <w:rPr>
                <w:b/>
                <w:bCs/>
                <w:szCs w:val="21"/>
              </w:rPr>
            </w:pPr>
            <w:r>
              <w:rPr>
                <w:rFonts w:hint="eastAsia"/>
                <w:b/>
                <w:bCs/>
                <w:szCs w:val="21"/>
              </w:rPr>
              <w:t>培训内容</w:t>
            </w:r>
          </w:p>
        </w:tc>
        <w:tc>
          <w:tcPr>
            <w:tcW w:w="3075" w:type="dxa"/>
            <w:vAlign w:val="center"/>
          </w:tcPr>
          <w:p>
            <w:pPr>
              <w:jc w:val="center"/>
              <w:rPr>
                <w:b/>
                <w:bCs/>
                <w:szCs w:val="21"/>
              </w:rPr>
            </w:pPr>
            <w:r>
              <w:rPr>
                <w:rFonts w:hint="eastAsia"/>
                <w:b/>
                <w:bCs/>
                <w:szCs w:val="21"/>
              </w:rPr>
              <w:t>预期目标</w:t>
            </w:r>
          </w:p>
        </w:tc>
        <w:tc>
          <w:tcPr>
            <w:tcW w:w="1755" w:type="dxa"/>
            <w:vAlign w:val="center"/>
          </w:tcPr>
          <w:p>
            <w:pPr>
              <w:jc w:val="center"/>
              <w:rPr>
                <w:b/>
                <w:bCs/>
                <w:szCs w:val="21"/>
              </w:rPr>
            </w:pPr>
            <w:r>
              <w:rPr>
                <w:rFonts w:hint="eastAsia"/>
                <w:b/>
                <w:bCs/>
                <w:szCs w:val="21"/>
              </w:rPr>
              <w:t>培训形式</w:t>
            </w:r>
          </w:p>
        </w:tc>
        <w:tc>
          <w:tcPr>
            <w:tcW w:w="1305" w:type="dxa"/>
            <w:vAlign w:val="center"/>
          </w:tcPr>
          <w:p>
            <w:pPr>
              <w:jc w:val="center"/>
              <w:rPr>
                <w:b/>
                <w:bCs/>
                <w:szCs w:val="21"/>
              </w:rPr>
            </w:pPr>
            <w:r>
              <w:rPr>
                <w:rFonts w:hint="eastAsia"/>
                <w:b/>
                <w:bCs/>
                <w:szCs w:val="21"/>
              </w:rPr>
              <w:t>带教老师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2267" w:type="dxa"/>
            <w:vAlign w:val="center"/>
          </w:tcPr>
          <w:p>
            <w:pPr>
              <w:jc w:val="center"/>
            </w:pPr>
            <w:r>
              <w:rPr>
                <w:rFonts w:hint="eastAsia"/>
              </w:rPr>
              <w:t>⒈超声诊断</w:t>
            </w:r>
            <w:r>
              <w:t>3</w:t>
            </w:r>
            <w:r>
              <w:rPr>
                <w:rFonts w:hint="eastAsia"/>
              </w:rPr>
              <w:t>个月：包括①正常腹部、颈部、乳腺、前列腺解剖及超声图像特征。②常见疾病的声像图特征及鉴别诊断，包括肝、胆、脾、胰、肾、肾上腺、甲状腺、乳腺、前列腺、膀胱、子宫、卵巢等常见疾病。</w:t>
            </w:r>
          </w:p>
        </w:tc>
        <w:tc>
          <w:tcPr>
            <w:tcW w:w="3075" w:type="dxa"/>
            <w:vAlign w:val="center"/>
          </w:tcPr>
          <w:p>
            <w:pPr>
              <w:jc w:val="center"/>
              <w:rPr>
                <w:rFonts w:ascii="宋体" w:cs="宋体"/>
                <w:sz w:val="22"/>
                <w:szCs w:val="22"/>
              </w:rPr>
            </w:pPr>
            <w:r>
              <w:rPr>
                <w:rFonts w:hint="eastAsia"/>
                <w:sz w:val="22"/>
                <w:szCs w:val="22"/>
              </w:rPr>
              <w:t>熟悉正常图像特征，能独立进行常见疾病的超声诊断，对复杂声像图能进行初步分析，提出可能的诊断和鉴别诊断。</w:t>
            </w:r>
          </w:p>
          <w:p>
            <w:pPr>
              <w:jc w:val="center"/>
            </w:pPr>
          </w:p>
        </w:tc>
        <w:tc>
          <w:tcPr>
            <w:tcW w:w="1755" w:type="dxa"/>
            <w:vAlign w:val="center"/>
          </w:tcPr>
          <w:p>
            <w:pPr>
              <w:jc w:val="left"/>
            </w:pPr>
            <w:r>
              <w:rPr>
                <w:rFonts w:hint="eastAsia"/>
              </w:rPr>
              <w:t>⒈以《超声医学》为基本教材教学。</w:t>
            </w:r>
          </w:p>
          <w:p>
            <w:pPr>
              <w:jc w:val="left"/>
            </w:pPr>
            <w:r>
              <w:rPr>
                <w:rFonts w:hint="eastAsia"/>
              </w:rPr>
              <w:t>⒉教师示范及实践操作。</w:t>
            </w:r>
          </w:p>
          <w:p>
            <w:pPr>
              <w:jc w:val="left"/>
            </w:pPr>
            <w:r>
              <w:rPr>
                <w:rFonts w:hint="eastAsia"/>
              </w:rPr>
              <w:t>⒊结合临床及手术结果分析典型与非典型病例。</w:t>
            </w:r>
          </w:p>
          <w:p>
            <w:pPr>
              <w:jc w:val="left"/>
            </w:pPr>
            <w:r>
              <w:rPr>
                <w:rFonts w:hint="eastAsia"/>
              </w:rPr>
              <w:t>⒋专题讲座。</w:t>
            </w:r>
          </w:p>
        </w:tc>
        <w:tc>
          <w:tcPr>
            <w:tcW w:w="1305" w:type="dxa"/>
            <w:vAlign w:val="center"/>
          </w:tcPr>
          <w:p>
            <w:pPr>
              <w:jc w:val="center"/>
            </w:pPr>
            <w:r>
              <w:rPr>
                <w:rFonts w:hint="eastAsia"/>
              </w:rPr>
              <w:t>王瑶琴</w:t>
            </w:r>
          </w:p>
          <w:p>
            <w:pPr>
              <w:jc w:val="center"/>
            </w:pPr>
            <w:r>
              <w:rPr>
                <w:rFonts w:hint="eastAsia"/>
              </w:rPr>
              <w:t>黄伟钦</w:t>
            </w:r>
          </w:p>
          <w:p>
            <w:pPr>
              <w:jc w:val="center"/>
            </w:pPr>
            <w:r>
              <w:rPr>
                <w:rFonts w:hint="eastAsia"/>
              </w:rPr>
              <w:t>陈轶洁</w:t>
            </w:r>
          </w:p>
          <w:p>
            <w:pPr>
              <w:jc w:val="center"/>
            </w:pPr>
            <w:r>
              <w:rPr>
                <w:rFonts w:hint="eastAsia"/>
              </w:rPr>
              <w:t>邓小红</w:t>
            </w:r>
          </w:p>
          <w:p>
            <w:pPr>
              <w:jc w:val="center"/>
            </w:pPr>
            <w:r>
              <w:rPr>
                <w:rFonts w:hint="eastAsia"/>
              </w:rPr>
              <w:t>柯晓慧</w:t>
            </w:r>
          </w:p>
          <w:p>
            <w:pPr>
              <w:jc w:val="center"/>
            </w:pPr>
            <w:r>
              <w:rPr>
                <w:rFonts w:hint="eastAsia"/>
              </w:rPr>
              <w:t>刘娜香</w:t>
            </w:r>
          </w:p>
          <w:p>
            <w:pPr>
              <w:jc w:val="center"/>
            </w:pPr>
            <w:r>
              <w:rPr>
                <w:rFonts w:hint="eastAsia"/>
              </w:rPr>
              <w:t>林文荣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2267" w:type="dxa"/>
            <w:vAlign w:val="center"/>
          </w:tcPr>
          <w:p>
            <w:pPr>
              <w:jc w:val="center"/>
            </w:pPr>
            <w:r>
              <w:rPr>
                <w:rFonts w:hint="eastAsia"/>
              </w:rPr>
              <w:t>⒉介入超声</w:t>
            </w:r>
            <w:r>
              <w:t>2</w:t>
            </w:r>
            <w:r>
              <w:rPr>
                <w:rFonts w:hint="eastAsia"/>
              </w:rPr>
              <w:t>个月：包括各脏器病变活检、置管引流等介入性诊断与治疗。</w:t>
            </w:r>
          </w:p>
        </w:tc>
        <w:tc>
          <w:tcPr>
            <w:tcW w:w="3075" w:type="dxa"/>
            <w:vAlign w:val="center"/>
          </w:tcPr>
          <w:p>
            <w:pPr>
              <w:jc w:val="center"/>
            </w:pPr>
            <w:r>
              <w:rPr>
                <w:rFonts w:hint="eastAsia"/>
                <w:sz w:val="22"/>
                <w:szCs w:val="22"/>
              </w:rPr>
              <w:t>对介入性超声有较全面的了解，能较</w:t>
            </w:r>
            <w:r>
              <w:rPr>
                <w:rFonts w:hint="eastAsia"/>
              </w:rPr>
              <w:t>熟悉掌握胸腹水置管引流的基本操作方法、各器官穿刺活检的基本操作方法及针具的选择、常规并发症的处理等等。</w:t>
            </w:r>
          </w:p>
        </w:tc>
        <w:tc>
          <w:tcPr>
            <w:tcW w:w="1755" w:type="dxa"/>
            <w:vAlign w:val="center"/>
          </w:tcPr>
          <w:p>
            <w:pPr>
              <w:jc w:val="left"/>
            </w:pPr>
            <w:r>
              <w:rPr>
                <w:rFonts w:hint="eastAsia"/>
              </w:rPr>
              <w:t>⒈以《超声医学》为基本教材教学。</w:t>
            </w:r>
          </w:p>
          <w:p>
            <w:pPr>
              <w:jc w:val="left"/>
            </w:pPr>
            <w:r>
              <w:rPr>
                <w:rFonts w:hint="eastAsia"/>
              </w:rPr>
              <w:t>⒉教师示范及实践操作。</w:t>
            </w:r>
          </w:p>
          <w:p>
            <w:pPr>
              <w:jc w:val="left"/>
            </w:pPr>
            <w:r>
              <w:rPr>
                <w:rFonts w:hint="eastAsia"/>
              </w:rPr>
              <w:t>⒊专题讲座。</w:t>
            </w:r>
          </w:p>
        </w:tc>
        <w:tc>
          <w:tcPr>
            <w:tcW w:w="1305" w:type="dxa"/>
            <w:vAlign w:val="center"/>
          </w:tcPr>
          <w:p>
            <w:pPr>
              <w:jc w:val="center"/>
            </w:pPr>
            <w:r>
              <w:rPr>
                <w:rFonts w:hint="eastAsia"/>
              </w:rPr>
              <w:t>唐丽娜</w:t>
            </w:r>
          </w:p>
          <w:p>
            <w:pPr>
              <w:jc w:val="center"/>
            </w:pPr>
            <w:r>
              <w:rPr>
                <w:rFonts w:hint="eastAsia"/>
              </w:rPr>
              <w:t>沈友洪</w:t>
            </w:r>
          </w:p>
          <w:p>
            <w:pPr>
              <w:jc w:val="center"/>
            </w:pPr>
            <w:r>
              <w:rPr>
                <w:rFonts w:hint="eastAsia"/>
              </w:rPr>
              <w:t>吴周贵</w:t>
            </w:r>
          </w:p>
          <w:p>
            <w:pPr>
              <w:jc w:val="center"/>
            </w:pPr>
            <w:r>
              <w:rPr>
                <w:rFonts w:hint="eastAsia"/>
              </w:rPr>
              <w:t>杜忠实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2267" w:type="dxa"/>
            <w:vAlign w:val="center"/>
          </w:tcPr>
          <w:p>
            <w:pPr>
              <w:jc w:val="center"/>
            </w:pPr>
            <w:r>
              <w:rPr>
                <w:rFonts w:hint="eastAsia"/>
              </w:rPr>
              <w:t>⒊超声造影、弹性成像</w:t>
            </w:r>
            <w:r>
              <w:t>1</w:t>
            </w:r>
            <w:r>
              <w:rPr>
                <w:rFonts w:hint="eastAsia"/>
              </w:rPr>
              <w:t>个月：包括肝、胃肠、乳腺及甲状腺结节的诊断与鉴别诊断</w:t>
            </w:r>
          </w:p>
        </w:tc>
        <w:tc>
          <w:tcPr>
            <w:tcW w:w="3075" w:type="dxa"/>
            <w:vAlign w:val="center"/>
          </w:tcPr>
          <w:p>
            <w:pPr>
              <w:jc w:val="center"/>
            </w:pPr>
            <w:r>
              <w:rPr>
                <w:rFonts w:hint="eastAsia"/>
                <w:sz w:val="22"/>
                <w:szCs w:val="22"/>
              </w:rPr>
              <w:t>对超声造影及弹性成像有初步了解。</w:t>
            </w:r>
          </w:p>
        </w:tc>
        <w:tc>
          <w:tcPr>
            <w:tcW w:w="1755" w:type="dxa"/>
            <w:vAlign w:val="center"/>
          </w:tcPr>
          <w:p>
            <w:pPr>
              <w:jc w:val="left"/>
            </w:pPr>
            <w:r>
              <w:rPr>
                <w:rFonts w:hint="eastAsia"/>
              </w:rPr>
              <w:t>⒈以《超声医学》为基本教材教学。</w:t>
            </w:r>
          </w:p>
          <w:p>
            <w:pPr>
              <w:jc w:val="left"/>
            </w:pPr>
            <w:r>
              <w:rPr>
                <w:rFonts w:hint="eastAsia"/>
              </w:rPr>
              <w:t>⒉教师示范。</w:t>
            </w:r>
          </w:p>
          <w:p>
            <w:pPr>
              <w:jc w:val="left"/>
            </w:pPr>
            <w:r>
              <w:rPr>
                <w:rFonts w:hint="eastAsia"/>
              </w:rPr>
              <w:t>⒊结合临床及手术结果分析典型与非典型病例。</w:t>
            </w:r>
          </w:p>
          <w:p>
            <w:pPr>
              <w:jc w:val="left"/>
            </w:pPr>
            <w:r>
              <w:rPr>
                <w:rFonts w:hint="eastAsia"/>
              </w:rPr>
              <w:t>⒋专题讲座。</w:t>
            </w:r>
          </w:p>
        </w:tc>
        <w:tc>
          <w:tcPr>
            <w:tcW w:w="1305" w:type="dxa"/>
            <w:vAlign w:val="center"/>
          </w:tcPr>
          <w:p>
            <w:pPr>
              <w:jc w:val="center"/>
            </w:pPr>
            <w:r>
              <w:rPr>
                <w:rFonts w:hint="eastAsia"/>
              </w:rPr>
              <w:t>唐丽娜</w:t>
            </w:r>
          </w:p>
          <w:p>
            <w:pPr>
              <w:jc w:val="center"/>
            </w:pPr>
            <w:r>
              <w:rPr>
                <w:rFonts w:hint="eastAsia"/>
              </w:rPr>
              <w:t>王瑶琴</w:t>
            </w:r>
          </w:p>
          <w:p>
            <w:pPr>
              <w:jc w:val="center"/>
            </w:pPr>
            <w:r>
              <w:rPr>
                <w:rFonts w:hint="eastAsia"/>
              </w:rPr>
              <w:t>黄伟钦</w:t>
            </w:r>
          </w:p>
          <w:p>
            <w:pPr>
              <w:jc w:val="center"/>
            </w:pPr>
            <w:r>
              <w:rPr>
                <w:rFonts w:hint="eastAsia"/>
              </w:rPr>
              <w:t>陈轶洁</w:t>
            </w:r>
          </w:p>
          <w:p>
            <w:pPr>
              <w:jc w:val="center"/>
            </w:pPr>
            <w:r>
              <w:rPr>
                <w:rFonts w:hint="eastAsia"/>
              </w:rPr>
              <w:t>杜忠实</w:t>
            </w:r>
          </w:p>
          <w:p>
            <w:pPr>
              <w:jc w:val="center"/>
            </w:pPr>
            <w:r>
              <w:rPr>
                <w:rFonts w:hint="eastAsia"/>
              </w:rPr>
              <w:t>刘娜香</w:t>
            </w:r>
          </w:p>
          <w:p>
            <w:pPr>
              <w:jc w:val="center"/>
            </w:pPr>
          </w:p>
        </w:tc>
      </w:tr>
    </w:tbl>
    <w:p>
      <w:pPr>
        <w:ind w:firstLine="560" w:firstLineChars="200"/>
        <w:rPr>
          <w:rFonts w:ascii="宋体" w:cs="宋体"/>
          <w:sz w:val="28"/>
          <w:szCs w:val="28"/>
          <w:shd w:val="clear" w:color="auto" w:fill="FFFFFF"/>
        </w:rPr>
      </w:pPr>
    </w:p>
    <w:p>
      <w:pPr>
        <w:ind w:firstLine="560" w:firstLineChars="200"/>
        <w:rPr>
          <w:rFonts w:ascii="宋体" w:cs="宋体"/>
          <w:b/>
          <w:sz w:val="28"/>
          <w:szCs w:val="28"/>
          <w:shd w:val="clear" w:color="auto" w:fill="FFFFFF"/>
        </w:rPr>
      </w:pPr>
      <w:r>
        <w:rPr>
          <w:rFonts w:ascii="宋体" w:cs="宋体"/>
          <w:sz w:val="28"/>
          <w:szCs w:val="28"/>
          <w:shd w:val="clear" w:color="auto" w:fill="FFFFFF"/>
        </w:rPr>
        <w:br w:type="page"/>
      </w:r>
      <w:r>
        <w:rPr>
          <w:rFonts w:hint="eastAsia" w:ascii="宋体" w:hAnsi="宋体" w:cs="宋体"/>
          <w:b/>
          <w:sz w:val="28"/>
          <w:szCs w:val="28"/>
          <w:shd w:val="clear" w:color="auto" w:fill="FFFFFF"/>
        </w:rPr>
        <w:t>培养内容（一年及以上）</w:t>
      </w:r>
    </w:p>
    <w:tbl>
      <w:tblPr>
        <w:tblStyle w:val="17"/>
        <w:tblW w:w="84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08"/>
        <w:gridCol w:w="2234"/>
        <w:gridCol w:w="1755"/>
        <w:gridCol w:w="13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8" w:type="dxa"/>
            <w:vAlign w:val="center"/>
          </w:tcPr>
          <w:p>
            <w:pPr>
              <w:jc w:val="left"/>
              <w:rPr>
                <w:b/>
                <w:bCs/>
                <w:szCs w:val="21"/>
              </w:rPr>
            </w:pPr>
            <w:r>
              <w:rPr>
                <w:rFonts w:hint="eastAsia"/>
                <w:b/>
                <w:bCs/>
                <w:szCs w:val="21"/>
              </w:rPr>
              <w:t>培训内容</w:t>
            </w:r>
          </w:p>
        </w:tc>
        <w:tc>
          <w:tcPr>
            <w:tcW w:w="2234" w:type="dxa"/>
            <w:vAlign w:val="center"/>
          </w:tcPr>
          <w:p>
            <w:pPr>
              <w:jc w:val="left"/>
              <w:rPr>
                <w:b/>
                <w:bCs/>
                <w:szCs w:val="21"/>
              </w:rPr>
            </w:pPr>
            <w:r>
              <w:rPr>
                <w:rFonts w:hint="eastAsia"/>
                <w:b/>
                <w:bCs/>
                <w:szCs w:val="21"/>
              </w:rPr>
              <w:t>预期目标</w:t>
            </w:r>
          </w:p>
        </w:tc>
        <w:tc>
          <w:tcPr>
            <w:tcW w:w="1755" w:type="dxa"/>
            <w:vAlign w:val="center"/>
          </w:tcPr>
          <w:p>
            <w:pPr>
              <w:jc w:val="left"/>
              <w:rPr>
                <w:b/>
                <w:bCs/>
                <w:szCs w:val="21"/>
              </w:rPr>
            </w:pPr>
            <w:r>
              <w:rPr>
                <w:rFonts w:hint="eastAsia"/>
                <w:b/>
                <w:bCs/>
                <w:szCs w:val="21"/>
              </w:rPr>
              <w:t>培训形式</w:t>
            </w:r>
          </w:p>
        </w:tc>
        <w:tc>
          <w:tcPr>
            <w:tcW w:w="1305" w:type="dxa"/>
            <w:vAlign w:val="center"/>
          </w:tcPr>
          <w:p>
            <w:pPr>
              <w:jc w:val="left"/>
              <w:rPr>
                <w:b/>
                <w:bCs/>
                <w:szCs w:val="21"/>
              </w:rPr>
            </w:pPr>
            <w:r>
              <w:rPr>
                <w:rFonts w:hint="eastAsia"/>
                <w:b/>
                <w:bCs/>
                <w:szCs w:val="21"/>
              </w:rPr>
              <w:t>带教老师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3108" w:type="dxa"/>
            <w:vAlign w:val="center"/>
          </w:tcPr>
          <w:p>
            <w:pPr>
              <w:jc w:val="left"/>
            </w:pPr>
            <w:r>
              <w:rPr>
                <w:rFonts w:hint="eastAsia"/>
              </w:rPr>
              <w:t>⒈正常腹部、颈部、乳腺、前列腺解剖及超声图像特征。</w:t>
            </w:r>
          </w:p>
          <w:p>
            <w:pPr>
              <w:jc w:val="left"/>
            </w:pPr>
            <w:r>
              <w:rPr>
                <w:rFonts w:hint="eastAsia"/>
              </w:rPr>
              <w:t>⒉常见疾病的声像图特征及鉴别诊断，包括肝、胆、脾、胰、肾、肾上腺、甲状腺、乳腺、前列腺、膀胱等常见疾病。</w:t>
            </w:r>
          </w:p>
          <w:p>
            <w:pPr>
              <w:jc w:val="left"/>
            </w:pPr>
            <w:r>
              <w:rPr>
                <w:rFonts w:hint="eastAsia"/>
              </w:rPr>
              <w:t>⒊正常盆腔解剖及图像特征。</w:t>
            </w:r>
          </w:p>
          <w:p>
            <w:pPr>
              <w:jc w:val="left"/>
            </w:pPr>
            <w:r>
              <w:rPr>
                <w:rFonts w:hint="eastAsia"/>
              </w:rPr>
              <w:t>⒋常见妇科疾病如异位妊娠、子宫肌瘤、卵巢肿瘤，了解疑难病例超声诊断。（2个月）</w:t>
            </w:r>
          </w:p>
          <w:p>
            <w:pPr>
              <w:jc w:val="left"/>
            </w:pPr>
          </w:p>
        </w:tc>
        <w:tc>
          <w:tcPr>
            <w:tcW w:w="2234" w:type="dxa"/>
            <w:vAlign w:val="center"/>
          </w:tcPr>
          <w:p>
            <w:pPr>
              <w:jc w:val="left"/>
            </w:pPr>
            <w:r>
              <w:rPr>
                <w:rFonts w:hint="eastAsia"/>
              </w:rPr>
              <w:t>按专业学习内容的基本要求，熟悉正常图像特征，能独立进行常见疾病的超声诊断，对复杂声像图能进行初步分析，提出可能的诊断和鉴别诊断。</w:t>
            </w:r>
          </w:p>
        </w:tc>
        <w:tc>
          <w:tcPr>
            <w:tcW w:w="1755" w:type="dxa"/>
            <w:vAlign w:val="center"/>
          </w:tcPr>
          <w:p>
            <w:pPr>
              <w:jc w:val="left"/>
            </w:pPr>
            <w:r>
              <w:rPr>
                <w:rFonts w:hint="eastAsia"/>
              </w:rPr>
              <w:t>⒈以《超声医学》为基本教材教学</w:t>
            </w:r>
          </w:p>
          <w:p>
            <w:pPr>
              <w:jc w:val="left"/>
            </w:pPr>
            <w:r>
              <w:rPr>
                <w:rFonts w:hint="eastAsia"/>
              </w:rPr>
              <w:t>⒉教师示范及实践操作。</w:t>
            </w:r>
          </w:p>
          <w:p>
            <w:pPr>
              <w:jc w:val="left"/>
            </w:pPr>
            <w:r>
              <w:rPr>
                <w:rFonts w:hint="eastAsia"/>
              </w:rPr>
              <w:t>⒊结合临床及手术结果分析典型与非典型病例。</w:t>
            </w:r>
          </w:p>
          <w:p>
            <w:pPr>
              <w:jc w:val="left"/>
            </w:pPr>
            <w:r>
              <w:rPr>
                <w:rFonts w:hint="eastAsia"/>
              </w:rPr>
              <w:t>⒋专题讲座。</w:t>
            </w:r>
          </w:p>
          <w:p>
            <w:pPr>
              <w:jc w:val="left"/>
            </w:pPr>
            <w:r>
              <w:t>5.</w:t>
            </w:r>
            <w:r>
              <w:rPr>
                <w:rFonts w:hint="eastAsia"/>
              </w:rPr>
              <w:t>独立操作检查病人，老师复核讲解。</w:t>
            </w:r>
          </w:p>
        </w:tc>
        <w:tc>
          <w:tcPr>
            <w:tcW w:w="1305" w:type="dxa"/>
            <w:vAlign w:val="center"/>
          </w:tcPr>
          <w:p>
            <w:pPr>
              <w:jc w:val="left"/>
            </w:pPr>
            <w:r>
              <w:rPr>
                <w:rFonts w:hint="eastAsia"/>
              </w:rPr>
              <w:t>王瑶琴</w:t>
            </w:r>
          </w:p>
          <w:p>
            <w:pPr>
              <w:jc w:val="left"/>
            </w:pPr>
            <w:r>
              <w:rPr>
                <w:rFonts w:hint="eastAsia"/>
              </w:rPr>
              <w:t>黄伟钦</w:t>
            </w:r>
          </w:p>
          <w:p>
            <w:pPr>
              <w:jc w:val="left"/>
            </w:pPr>
            <w:r>
              <w:rPr>
                <w:rFonts w:hint="eastAsia"/>
              </w:rPr>
              <w:t>陈轶洁</w:t>
            </w:r>
          </w:p>
          <w:p>
            <w:pPr>
              <w:jc w:val="left"/>
            </w:pPr>
            <w:r>
              <w:rPr>
                <w:rFonts w:hint="eastAsia"/>
              </w:rPr>
              <w:t>邓小红</w:t>
            </w:r>
          </w:p>
          <w:p>
            <w:pPr>
              <w:jc w:val="left"/>
            </w:pPr>
            <w:r>
              <w:rPr>
                <w:rFonts w:hint="eastAsia"/>
              </w:rPr>
              <w:t>柯晓慧</w:t>
            </w:r>
          </w:p>
          <w:p>
            <w:pPr>
              <w:jc w:val="left"/>
            </w:pPr>
            <w:r>
              <w:rPr>
                <w:rFonts w:hint="eastAsia"/>
              </w:rPr>
              <w:t>刘娜香</w:t>
            </w:r>
          </w:p>
          <w:p>
            <w:pPr>
              <w:jc w:val="left"/>
            </w:pPr>
            <w:r>
              <w:rPr>
                <w:rFonts w:hint="eastAsia"/>
              </w:rPr>
              <w:t>林文荣</w:t>
            </w:r>
          </w:p>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3108" w:type="dxa"/>
            <w:vAlign w:val="center"/>
          </w:tcPr>
          <w:p>
            <w:pPr>
              <w:jc w:val="left"/>
            </w:pPr>
            <w:r>
              <w:rPr>
                <w:rFonts w:hint="eastAsia"/>
              </w:rPr>
              <w:t>⒌正常胃肠解剖及图像特征。</w:t>
            </w:r>
          </w:p>
          <w:p>
            <w:pPr>
              <w:jc w:val="left"/>
            </w:pPr>
            <w:r>
              <w:rPr>
                <w:rFonts w:hint="eastAsia"/>
              </w:rPr>
              <w:t>⒍常见疾病超声造影的图像特征，如肝肿物、乳腺肿物及胃等的超声造影检查。</w:t>
            </w:r>
          </w:p>
          <w:p>
            <w:pPr>
              <w:jc w:val="left"/>
            </w:pPr>
            <w:r>
              <w:rPr>
                <w:rFonts w:hint="eastAsia"/>
              </w:rPr>
              <w:t>⒎直肠癌双重造影的声像图特征及判别。（2个月）</w:t>
            </w:r>
          </w:p>
        </w:tc>
        <w:tc>
          <w:tcPr>
            <w:tcW w:w="2234" w:type="dxa"/>
            <w:vAlign w:val="center"/>
          </w:tcPr>
          <w:p>
            <w:pPr>
              <w:jc w:val="left"/>
            </w:pPr>
            <w:r>
              <w:rPr>
                <w:rFonts w:hint="eastAsia"/>
              </w:rPr>
              <w:t>按专业学习内容的基本要求，熟悉正常图像特征，能独立进行常见疾病的超声诊断，对复杂声像图能进行初步分析，提出可能的诊断和鉴别诊断。</w:t>
            </w:r>
          </w:p>
        </w:tc>
        <w:tc>
          <w:tcPr>
            <w:tcW w:w="1755" w:type="dxa"/>
            <w:vAlign w:val="center"/>
          </w:tcPr>
          <w:p>
            <w:pPr>
              <w:jc w:val="left"/>
            </w:pPr>
            <w:r>
              <w:rPr>
                <w:rFonts w:hint="eastAsia"/>
              </w:rPr>
              <w:t>⒈以《超声医学》为基本教材教学</w:t>
            </w:r>
          </w:p>
          <w:p>
            <w:pPr>
              <w:jc w:val="left"/>
            </w:pPr>
            <w:r>
              <w:rPr>
                <w:rFonts w:hint="eastAsia"/>
              </w:rPr>
              <w:t>⒉教师示范及实践操作。</w:t>
            </w:r>
          </w:p>
          <w:p>
            <w:pPr>
              <w:jc w:val="left"/>
            </w:pPr>
            <w:r>
              <w:rPr>
                <w:rFonts w:hint="eastAsia"/>
              </w:rPr>
              <w:t>⒊结合临床及手术结果分析典型与非典型病例。</w:t>
            </w:r>
          </w:p>
          <w:p>
            <w:pPr>
              <w:jc w:val="left"/>
            </w:pPr>
            <w:r>
              <w:rPr>
                <w:rFonts w:hint="eastAsia"/>
              </w:rPr>
              <w:t>⒋专题讲座。</w:t>
            </w:r>
          </w:p>
        </w:tc>
        <w:tc>
          <w:tcPr>
            <w:tcW w:w="1305" w:type="dxa"/>
            <w:vAlign w:val="center"/>
          </w:tcPr>
          <w:p>
            <w:pPr>
              <w:jc w:val="left"/>
            </w:pPr>
            <w:r>
              <w:rPr>
                <w:rFonts w:hint="eastAsia"/>
              </w:rPr>
              <w:t>王瑶琴</w:t>
            </w:r>
          </w:p>
          <w:p>
            <w:pPr>
              <w:jc w:val="left"/>
            </w:pPr>
            <w:r>
              <w:rPr>
                <w:rFonts w:hint="eastAsia"/>
              </w:rPr>
              <w:t>黄伟钦</w:t>
            </w:r>
          </w:p>
          <w:p>
            <w:pPr>
              <w:jc w:val="left"/>
            </w:pPr>
            <w:r>
              <w:rPr>
                <w:rFonts w:hint="eastAsia"/>
              </w:rPr>
              <w:t>陈轶洁</w:t>
            </w:r>
          </w:p>
          <w:p>
            <w:pPr>
              <w:jc w:val="left"/>
            </w:pPr>
            <w:r>
              <w:rPr>
                <w:rFonts w:hint="eastAsia"/>
              </w:rPr>
              <w:t>柯晓慧</w:t>
            </w:r>
          </w:p>
          <w:p>
            <w:pPr>
              <w:jc w:val="left"/>
            </w:pPr>
            <w:r>
              <w:rPr>
                <w:rFonts w:hint="eastAsia"/>
              </w:rPr>
              <w:t>邓小红</w:t>
            </w:r>
          </w:p>
          <w:p>
            <w:pPr>
              <w:jc w:val="left"/>
            </w:pPr>
            <w:r>
              <w:rPr>
                <w:rFonts w:hint="eastAsia"/>
              </w:rPr>
              <w:t>刘娜香</w:t>
            </w:r>
          </w:p>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3108" w:type="dxa"/>
            <w:vAlign w:val="center"/>
          </w:tcPr>
          <w:p>
            <w:pPr>
              <w:jc w:val="left"/>
            </w:pPr>
            <w:r>
              <w:rPr>
                <w:rFonts w:hint="eastAsia"/>
              </w:rPr>
              <w:t>⒏超声心动图基本操作手法。</w:t>
            </w:r>
          </w:p>
          <w:p>
            <w:pPr>
              <w:jc w:val="left"/>
            </w:pPr>
            <w:r>
              <w:rPr>
                <w:rFonts w:hint="eastAsia"/>
              </w:rPr>
              <w:t>⒐常见心脏疾病的基本图像特征和诊断方法，如心脏瓣膜病、高血压性心脏病、心包疾患等。（3个月）</w:t>
            </w:r>
          </w:p>
        </w:tc>
        <w:tc>
          <w:tcPr>
            <w:tcW w:w="2234" w:type="dxa"/>
            <w:vAlign w:val="center"/>
          </w:tcPr>
          <w:p>
            <w:pPr>
              <w:jc w:val="left"/>
            </w:pPr>
            <w:r>
              <w:rPr>
                <w:rFonts w:hint="eastAsia"/>
              </w:rPr>
              <w:t>按专业学习内容的基本要求，熟悉正常图像特征，能独立进行常见疾病的超声诊断，对复杂声像图能进行初步分析，提出可能的诊断和鉴别诊断。</w:t>
            </w:r>
          </w:p>
        </w:tc>
        <w:tc>
          <w:tcPr>
            <w:tcW w:w="1755" w:type="dxa"/>
            <w:vAlign w:val="center"/>
          </w:tcPr>
          <w:p>
            <w:pPr>
              <w:jc w:val="left"/>
            </w:pPr>
            <w:r>
              <w:rPr>
                <w:rFonts w:hint="eastAsia"/>
              </w:rPr>
              <w:t>⒈以《超声医学》为基本教材教学</w:t>
            </w:r>
          </w:p>
          <w:p>
            <w:pPr>
              <w:jc w:val="left"/>
            </w:pPr>
            <w:r>
              <w:rPr>
                <w:rFonts w:hint="eastAsia"/>
              </w:rPr>
              <w:t>⒉教师示范及实践操作。</w:t>
            </w:r>
          </w:p>
          <w:p>
            <w:pPr>
              <w:jc w:val="left"/>
            </w:pPr>
            <w:r>
              <w:rPr>
                <w:rFonts w:hint="eastAsia"/>
              </w:rPr>
              <w:t>⒊结合临床及手术结果分析典型与非典型病例。</w:t>
            </w:r>
          </w:p>
          <w:p>
            <w:pPr>
              <w:jc w:val="left"/>
            </w:pPr>
            <w:r>
              <w:rPr>
                <w:rFonts w:hint="eastAsia"/>
              </w:rPr>
              <w:t>⒋专题讲座。</w:t>
            </w:r>
          </w:p>
        </w:tc>
        <w:tc>
          <w:tcPr>
            <w:tcW w:w="1305" w:type="dxa"/>
            <w:vAlign w:val="center"/>
          </w:tcPr>
          <w:p>
            <w:pPr>
              <w:jc w:val="left"/>
            </w:pPr>
          </w:p>
          <w:p>
            <w:pPr>
              <w:jc w:val="left"/>
            </w:pPr>
            <w:r>
              <w:rPr>
                <w:rFonts w:hint="eastAsia"/>
              </w:rPr>
              <w:t>王瑶琴</w:t>
            </w:r>
          </w:p>
          <w:p>
            <w:pPr>
              <w:jc w:val="left"/>
            </w:pPr>
            <w:r>
              <w:rPr>
                <w:rFonts w:hint="eastAsia"/>
              </w:rPr>
              <w:t>陈轶洁</w:t>
            </w:r>
          </w:p>
          <w:p>
            <w:pPr>
              <w:jc w:val="left"/>
            </w:pPr>
            <w:r>
              <w:rPr>
                <w:rFonts w:hint="eastAsia"/>
              </w:rPr>
              <w:t>柯晓慧</w:t>
            </w:r>
          </w:p>
          <w:p>
            <w:pPr>
              <w:jc w:val="left"/>
            </w:pPr>
          </w:p>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3108" w:type="dxa"/>
            <w:vAlign w:val="center"/>
          </w:tcPr>
          <w:p>
            <w:pPr>
              <w:ind w:left="210" w:hanging="210" w:hangingChars="100"/>
              <w:jc w:val="left"/>
            </w:pPr>
            <w:r>
              <w:rPr>
                <w:rFonts w:hint="eastAsia"/>
              </w:rPr>
              <w:t>⒑介入性超声的基本操作方法，</w:t>
            </w:r>
          </w:p>
          <w:p>
            <w:pPr>
              <w:jc w:val="left"/>
            </w:pPr>
            <w:r>
              <w:rPr>
                <w:rFonts w:hint="eastAsia"/>
              </w:rPr>
              <w:t>如各脏器病变细胞、组织活检术、肝癌无水酒精硬化治疗术，囊肿硬化治疗术、胸腹水置管引流术、经皮肝胆管、胆囊穿刺置管引流术、肾盂置管造瘘术等。</w:t>
            </w:r>
          </w:p>
          <w:p>
            <w:pPr>
              <w:jc w:val="left"/>
            </w:pPr>
            <w:r>
              <w:rPr>
                <w:rFonts w:hint="eastAsia"/>
              </w:rPr>
              <w:t>⒒观摩超声引导下肝癌、肾癌及甲状腺结节热消融治疗等。</w:t>
            </w:r>
          </w:p>
        </w:tc>
        <w:tc>
          <w:tcPr>
            <w:tcW w:w="2234" w:type="dxa"/>
            <w:vAlign w:val="center"/>
          </w:tcPr>
          <w:p>
            <w:pPr>
              <w:jc w:val="left"/>
            </w:pPr>
            <w:r>
              <w:rPr>
                <w:rFonts w:hint="eastAsia"/>
              </w:rPr>
              <w:t>掌握胸腹水置管引流的基本操作方法；熟悉各脏器病变穿刺活检的基本操作方法、针具的选择等等；了解肝及甲状腺肿物射频消融治疗的适应症、禁忌症及基本操作方法。有时要结合增强C</w:t>
            </w:r>
            <w:r>
              <w:t>I</w:t>
            </w:r>
            <w:r>
              <w:rPr>
                <w:rFonts w:hint="eastAsia"/>
              </w:rPr>
              <w:t>或M</w:t>
            </w:r>
            <w:r>
              <w:t>RI.</w:t>
            </w:r>
          </w:p>
        </w:tc>
        <w:tc>
          <w:tcPr>
            <w:tcW w:w="1755" w:type="dxa"/>
            <w:vAlign w:val="center"/>
          </w:tcPr>
          <w:p>
            <w:pPr>
              <w:jc w:val="left"/>
            </w:pPr>
            <w:r>
              <w:rPr>
                <w:rFonts w:hint="eastAsia"/>
              </w:rPr>
              <w:t>⒈以《超声医学》为基本教材教学。</w:t>
            </w:r>
          </w:p>
          <w:p>
            <w:pPr>
              <w:jc w:val="left"/>
            </w:pPr>
            <w:r>
              <w:rPr>
                <w:rFonts w:hint="eastAsia"/>
              </w:rPr>
              <w:t>⒉教师示范及实践操作。</w:t>
            </w:r>
          </w:p>
          <w:p>
            <w:pPr>
              <w:jc w:val="left"/>
            </w:pPr>
            <w:r>
              <w:rPr>
                <w:rFonts w:hint="eastAsia"/>
              </w:rPr>
              <w:t>⒊专题讲座。</w:t>
            </w:r>
          </w:p>
        </w:tc>
        <w:tc>
          <w:tcPr>
            <w:tcW w:w="1305" w:type="dxa"/>
            <w:vAlign w:val="center"/>
          </w:tcPr>
          <w:p>
            <w:pPr>
              <w:jc w:val="left"/>
            </w:pPr>
            <w:r>
              <w:rPr>
                <w:rFonts w:hint="eastAsia"/>
              </w:rPr>
              <w:t>唐丽娜</w:t>
            </w:r>
          </w:p>
          <w:p>
            <w:pPr>
              <w:jc w:val="left"/>
            </w:pPr>
            <w:r>
              <w:rPr>
                <w:rFonts w:hint="eastAsia"/>
              </w:rPr>
              <w:t>沈友洪</w:t>
            </w:r>
          </w:p>
          <w:p>
            <w:pPr>
              <w:jc w:val="left"/>
            </w:pPr>
            <w:r>
              <w:rPr>
                <w:rFonts w:hint="eastAsia"/>
              </w:rPr>
              <w:t>吴周贵</w:t>
            </w:r>
          </w:p>
          <w:p>
            <w:pPr>
              <w:jc w:val="left"/>
            </w:pPr>
            <w:r>
              <w:rPr>
                <w:rFonts w:hint="eastAsia"/>
              </w:rPr>
              <w:t>杜忠实</w:t>
            </w:r>
          </w:p>
        </w:tc>
      </w:tr>
    </w:tbl>
    <w:p>
      <w:pPr>
        <w:rPr>
          <w:rFonts w:ascii="黑体" w:hAnsi="黑体" w:eastAsia="黑体" w:cs="黑体"/>
          <w:sz w:val="32"/>
          <w:szCs w:val="32"/>
        </w:rPr>
      </w:pPr>
      <w:r>
        <w:br w:type="page"/>
      </w:r>
      <w:bookmarkStart w:id="9" w:name="_Toc501191610"/>
      <w:r>
        <w:rPr>
          <w:rFonts w:hint="eastAsia" w:ascii="黑体" w:hAnsi="黑体" w:eastAsia="黑体" w:cs="黑体"/>
          <w:sz w:val="32"/>
          <w:szCs w:val="32"/>
        </w:rPr>
        <w:t>进修生培养计划：</w:t>
      </w:r>
      <w:bookmarkEnd w:id="9"/>
    </w:p>
    <w:p>
      <w:pPr>
        <w:pStyle w:val="3"/>
        <w:rPr>
          <w:rFonts w:ascii="宋体" w:hAnsi="宋体" w:eastAsia="宋体" w:cs="宋体"/>
          <w:sz w:val="28"/>
          <w:szCs w:val="28"/>
        </w:rPr>
      </w:pPr>
      <w:bookmarkStart w:id="10" w:name="_Toc501191611"/>
      <w:r>
        <w:rPr>
          <w:rFonts w:hint="eastAsia" w:ascii="宋体" w:hAnsi="宋体" w:eastAsia="宋体" w:cs="宋体"/>
          <w:sz w:val="28"/>
          <w:szCs w:val="28"/>
        </w:rPr>
        <w:t>一、</w:t>
      </w:r>
      <w:r>
        <w:rPr>
          <w:rFonts w:ascii="宋体" w:hAnsi="宋体" w:eastAsia="宋体" w:cs="宋体"/>
          <w:sz w:val="28"/>
          <w:szCs w:val="28"/>
        </w:rPr>
        <w:t xml:space="preserve"> </w:t>
      </w:r>
      <w:r>
        <w:rPr>
          <w:rFonts w:hint="eastAsia" w:ascii="宋体" w:hAnsi="宋体" w:eastAsia="宋体" w:cs="宋体"/>
          <w:sz w:val="28"/>
          <w:szCs w:val="28"/>
        </w:rPr>
        <w:t>入科教育</w:t>
      </w:r>
      <w:bookmarkEnd w:id="10"/>
    </w:p>
    <w:p>
      <w:pPr>
        <w:numPr>
          <w:ilvl w:val="0"/>
          <w:numId w:val="1"/>
        </w:numPr>
        <w:spacing w:line="360" w:lineRule="auto"/>
        <w:ind w:firstLine="560" w:firstLineChars="200"/>
        <w:rPr>
          <w:rFonts w:ascii="宋体" w:cs="宋体"/>
          <w:sz w:val="28"/>
          <w:szCs w:val="28"/>
          <w:shd w:val="clear" w:color="auto" w:fill="FFFFFF"/>
        </w:rPr>
      </w:pPr>
      <w:r>
        <w:rPr>
          <w:rFonts w:hint="eastAsia" w:ascii="宋体" w:hAnsi="宋体" w:cs="宋体"/>
          <w:sz w:val="28"/>
          <w:szCs w:val="28"/>
          <w:shd w:val="clear" w:color="auto" w:fill="FFFFFF"/>
        </w:rPr>
        <w:t>进行重要医疗法规的宣传教育，包括《执业医师法》、《医疗事故处理条例》及相关细则等；</w:t>
      </w:r>
    </w:p>
    <w:p>
      <w:pPr>
        <w:numPr>
          <w:ilvl w:val="0"/>
          <w:numId w:val="1"/>
        </w:numPr>
        <w:spacing w:line="360" w:lineRule="auto"/>
        <w:ind w:firstLine="560" w:firstLineChars="200"/>
        <w:rPr>
          <w:rFonts w:ascii="宋体" w:cs="宋体"/>
          <w:sz w:val="28"/>
          <w:szCs w:val="28"/>
          <w:shd w:val="clear" w:color="auto" w:fill="FFFFFF"/>
        </w:rPr>
      </w:pPr>
      <w:r>
        <w:rPr>
          <w:rFonts w:hint="eastAsia" w:ascii="宋体" w:hAnsi="宋体" w:cs="宋体"/>
          <w:sz w:val="28"/>
          <w:szCs w:val="28"/>
          <w:shd w:val="clear" w:color="auto" w:fill="FFFFFF"/>
        </w:rPr>
        <w:t>科室的基本情况及规章制度（查对制度、危急值制度、医疗差错与安全不良事件报告及奖惩、培训、请假等事宜）；</w:t>
      </w:r>
    </w:p>
    <w:p>
      <w:pPr>
        <w:numPr>
          <w:ilvl w:val="0"/>
          <w:numId w:val="1"/>
        </w:numPr>
        <w:spacing w:line="360" w:lineRule="auto"/>
        <w:ind w:firstLine="560" w:firstLineChars="200"/>
        <w:rPr>
          <w:rFonts w:ascii="宋体" w:cs="宋体"/>
          <w:sz w:val="28"/>
          <w:szCs w:val="28"/>
          <w:shd w:val="clear" w:color="auto" w:fill="FFFFFF"/>
        </w:rPr>
      </w:pPr>
      <w:r>
        <w:rPr>
          <w:rFonts w:hint="eastAsia" w:ascii="宋体" w:hAnsi="宋体" w:cs="宋体"/>
          <w:sz w:val="28"/>
          <w:szCs w:val="28"/>
          <w:shd w:val="clear" w:color="auto" w:fill="FFFFFF"/>
        </w:rPr>
        <w:t>仪器设备的使用规范及注意事项；</w:t>
      </w:r>
    </w:p>
    <w:p>
      <w:pPr>
        <w:numPr>
          <w:ilvl w:val="0"/>
          <w:numId w:val="1"/>
        </w:numPr>
        <w:spacing w:line="360" w:lineRule="auto"/>
        <w:ind w:firstLine="560" w:firstLineChars="200"/>
        <w:rPr>
          <w:rFonts w:ascii="宋体" w:cs="宋体"/>
          <w:sz w:val="28"/>
          <w:szCs w:val="28"/>
          <w:shd w:val="clear" w:color="auto" w:fill="FFFFFF"/>
        </w:rPr>
      </w:pPr>
      <w:r>
        <w:rPr>
          <w:rFonts w:hint="eastAsia" w:ascii="宋体" w:hAnsi="宋体" w:cs="宋体"/>
          <w:sz w:val="28"/>
          <w:szCs w:val="28"/>
          <w:shd w:val="clear" w:color="auto" w:fill="FFFFFF"/>
        </w:rPr>
        <w:t>医疗工作中医患关系的妥善处理及需要注意的问题；</w:t>
      </w:r>
    </w:p>
    <w:p>
      <w:pPr>
        <w:numPr>
          <w:ilvl w:val="0"/>
          <w:numId w:val="1"/>
        </w:numPr>
        <w:spacing w:line="360" w:lineRule="auto"/>
        <w:ind w:firstLine="560" w:firstLineChars="200"/>
        <w:rPr>
          <w:rFonts w:ascii="宋体" w:cs="宋体"/>
          <w:sz w:val="28"/>
          <w:szCs w:val="28"/>
          <w:shd w:val="clear" w:color="auto" w:fill="FFFFFF"/>
        </w:rPr>
      </w:pPr>
      <w:r>
        <w:rPr>
          <w:rFonts w:hint="eastAsia" w:ascii="宋体" w:hAnsi="宋体" w:cs="宋体"/>
          <w:sz w:val="28"/>
          <w:szCs w:val="28"/>
          <w:shd w:val="clear" w:color="auto" w:fill="FFFFFF"/>
        </w:rPr>
        <w:t>超声报告、记录的书写要求；</w:t>
      </w:r>
    </w:p>
    <w:p>
      <w:pPr>
        <w:spacing w:line="360" w:lineRule="auto"/>
        <w:ind w:firstLine="560" w:firstLineChars="200"/>
        <w:rPr>
          <w:rFonts w:ascii="宋体" w:cs="宋体"/>
          <w:sz w:val="28"/>
          <w:szCs w:val="28"/>
          <w:shd w:val="clear" w:color="auto" w:fill="FFFFFF"/>
        </w:rPr>
      </w:pPr>
      <w:r>
        <w:rPr>
          <w:rFonts w:hint="eastAsia" w:ascii="宋体" w:hAnsi="宋体" w:cs="宋体"/>
          <w:sz w:val="28"/>
          <w:szCs w:val="28"/>
          <w:shd w:val="clear" w:color="auto" w:fill="FFFFFF"/>
        </w:rPr>
        <w:t>务必使进修医师能彻底理解相关法规，做到依法行医，加强自我保护，培养进修医师严格按照常规办事的概念。</w:t>
      </w:r>
    </w:p>
    <w:p>
      <w:pPr>
        <w:pStyle w:val="3"/>
        <w:rPr>
          <w:rFonts w:ascii="宋体" w:hAnsi="宋体" w:eastAsia="宋体" w:cs="宋体"/>
          <w:sz w:val="28"/>
          <w:szCs w:val="28"/>
        </w:rPr>
      </w:pPr>
      <w:bookmarkStart w:id="11" w:name="_Toc501191612"/>
      <w:r>
        <w:rPr>
          <w:rFonts w:hint="eastAsia" w:ascii="宋体" w:hAnsi="宋体" w:eastAsia="宋体" w:cs="宋体"/>
          <w:sz w:val="28"/>
          <w:szCs w:val="28"/>
        </w:rPr>
        <w:t>二、</w:t>
      </w:r>
      <w:r>
        <w:rPr>
          <w:rFonts w:ascii="宋体" w:hAnsi="宋体" w:eastAsia="宋体" w:cs="宋体"/>
          <w:sz w:val="28"/>
          <w:szCs w:val="28"/>
        </w:rPr>
        <w:t xml:space="preserve"> </w:t>
      </w:r>
      <w:r>
        <w:rPr>
          <w:rFonts w:hint="eastAsia" w:ascii="宋体" w:hAnsi="宋体" w:eastAsia="宋体" w:cs="宋体"/>
          <w:sz w:val="28"/>
          <w:szCs w:val="28"/>
        </w:rPr>
        <w:t>考勤管理</w:t>
      </w:r>
      <w:bookmarkEnd w:id="11"/>
    </w:p>
    <w:p>
      <w:pPr>
        <w:spacing w:line="360" w:lineRule="auto"/>
        <w:ind w:firstLine="560" w:firstLineChars="200"/>
        <w:rPr>
          <w:rFonts w:ascii="宋体" w:cs="宋体"/>
          <w:sz w:val="28"/>
          <w:szCs w:val="28"/>
          <w:shd w:val="clear" w:color="auto" w:fill="FFFFFF"/>
        </w:rPr>
      </w:pPr>
      <w:r>
        <w:rPr>
          <w:rFonts w:hint="eastAsia" w:ascii="宋体" w:hAnsi="宋体" w:cs="宋体"/>
          <w:sz w:val="28"/>
          <w:szCs w:val="28"/>
          <w:shd w:val="clear" w:color="auto" w:fill="FFFFFF"/>
        </w:rPr>
        <w:t>科室教学秘书做好进修生登记工作。原则上不允许中途回原单位或家乡。特殊情况确有需要者，需填写进修人员培训考核记录手册中的请假单，根据要求程序进行申请，并附有关证明文件之原件备案，经同意后方可准假，并应在规定时间内返回。</w:t>
      </w:r>
    </w:p>
    <w:p>
      <w:pPr>
        <w:spacing w:line="360" w:lineRule="auto"/>
        <w:ind w:firstLine="560" w:firstLineChars="200"/>
        <w:rPr>
          <w:rFonts w:ascii="宋体" w:cs="宋体"/>
          <w:sz w:val="28"/>
          <w:szCs w:val="28"/>
          <w:shd w:val="clear" w:color="auto" w:fill="FFFFFF"/>
        </w:rPr>
      </w:pPr>
      <w:r>
        <w:rPr>
          <w:rFonts w:hint="eastAsia" w:ascii="宋体" w:hAnsi="宋体" w:cs="宋体"/>
          <w:sz w:val="28"/>
          <w:szCs w:val="28"/>
          <w:shd w:val="clear" w:color="auto" w:fill="FFFFFF"/>
        </w:rPr>
        <w:t>进修生接受教育处查岗，凡未办理请假手续私自旷工超过两次的将报大科秘书，申请取消进修资格。</w:t>
      </w:r>
    </w:p>
    <w:p>
      <w:pPr>
        <w:pStyle w:val="3"/>
        <w:rPr>
          <w:rFonts w:ascii="宋体" w:hAnsi="宋体" w:eastAsia="宋体" w:cs="宋体"/>
          <w:sz w:val="28"/>
          <w:szCs w:val="28"/>
        </w:rPr>
      </w:pPr>
      <w:bookmarkStart w:id="12" w:name="_Toc501191613"/>
      <w:r>
        <w:rPr>
          <w:rFonts w:hint="eastAsia" w:ascii="宋体" w:hAnsi="宋体" w:eastAsia="宋体" w:cs="宋体"/>
          <w:sz w:val="28"/>
          <w:szCs w:val="28"/>
        </w:rPr>
        <w:t>三、</w:t>
      </w:r>
      <w:r>
        <w:rPr>
          <w:rFonts w:ascii="宋体" w:hAnsi="宋体" w:eastAsia="宋体" w:cs="宋体"/>
          <w:sz w:val="28"/>
          <w:szCs w:val="28"/>
        </w:rPr>
        <w:t xml:space="preserve"> </w:t>
      </w:r>
      <w:r>
        <w:rPr>
          <w:rFonts w:hint="eastAsia" w:ascii="宋体" w:hAnsi="宋体" w:eastAsia="宋体" w:cs="宋体"/>
          <w:sz w:val="28"/>
          <w:szCs w:val="28"/>
        </w:rPr>
        <w:t>业务学习</w:t>
      </w:r>
      <w:bookmarkEnd w:id="12"/>
    </w:p>
    <w:p>
      <w:pPr>
        <w:numPr>
          <w:ilvl w:val="0"/>
          <w:numId w:val="2"/>
        </w:numPr>
        <w:spacing w:line="360" w:lineRule="auto"/>
        <w:ind w:firstLine="560" w:firstLineChars="200"/>
        <w:rPr>
          <w:rFonts w:ascii="宋体" w:cs="宋体"/>
          <w:sz w:val="28"/>
          <w:szCs w:val="28"/>
          <w:shd w:val="clear" w:color="auto" w:fill="FFFFFF"/>
        </w:rPr>
      </w:pPr>
      <w:r>
        <w:rPr>
          <w:rFonts w:hint="eastAsia" w:ascii="宋体" w:hAnsi="宋体" w:cs="宋体"/>
          <w:sz w:val="28"/>
          <w:szCs w:val="28"/>
          <w:shd w:val="clear" w:color="auto" w:fill="FFFFFF"/>
        </w:rPr>
        <w:t>每周一次，举办由科主任、副主任医师等主讲，所有进修医师参与。内容包括本专业的理论、技术及最新进展。</w:t>
      </w:r>
    </w:p>
    <w:p>
      <w:pPr>
        <w:numPr>
          <w:ilvl w:val="0"/>
          <w:numId w:val="2"/>
        </w:numPr>
        <w:spacing w:line="360" w:lineRule="auto"/>
        <w:ind w:firstLine="560" w:firstLineChars="200"/>
        <w:rPr>
          <w:rFonts w:ascii="宋体" w:cs="宋体"/>
          <w:sz w:val="28"/>
          <w:szCs w:val="28"/>
          <w:shd w:val="clear" w:color="auto" w:fill="FFFFFF"/>
        </w:rPr>
      </w:pPr>
      <w:r>
        <w:rPr>
          <w:rFonts w:hint="eastAsia" w:ascii="宋体" w:hAnsi="宋体" w:cs="宋体"/>
          <w:sz w:val="28"/>
          <w:szCs w:val="28"/>
          <w:shd w:val="clear" w:color="auto" w:fill="FFFFFF"/>
        </w:rPr>
        <w:t>每周安排科内高年资主治医师组织新知识介绍及疑难病例讨论。</w:t>
      </w:r>
    </w:p>
    <w:p>
      <w:pPr>
        <w:numPr>
          <w:ilvl w:val="0"/>
          <w:numId w:val="2"/>
        </w:numPr>
        <w:spacing w:line="360" w:lineRule="auto"/>
        <w:ind w:firstLine="560" w:firstLineChars="200"/>
        <w:rPr>
          <w:rFonts w:ascii="宋体" w:cs="宋体"/>
          <w:sz w:val="28"/>
          <w:szCs w:val="28"/>
          <w:shd w:val="clear" w:color="auto" w:fill="FFFFFF"/>
        </w:rPr>
      </w:pPr>
      <w:r>
        <w:rPr>
          <w:rFonts w:hint="eastAsia" w:ascii="宋体" w:hAnsi="宋体" w:cs="宋体"/>
          <w:sz w:val="28"/>
          <w:szCs w:val="28"/>
          <w:shd w:val="clear" w:color="auto" w:fill="FFFFFF"/>
        </w:rPr>
        <w:t>各亚专业组带教老师结合病种，自行安排小讲课。</w:t>
      </w:r>
    </w:p>
    <w:p>
      <w:pPr>
        <w:pStyle w:val="3"/>
        <w:rPr>
          <w:rFonts w:ascii="宋体" w:hAnsi="宋体" w:eastAsia="宋体" w:cs="宋体"/>
          <w:sz w:val="28"/>
          <w:szCs w:val="28"/>
        </w:rPr>
      </w:pPr>
      <w:bookmarkStart w:id="13" w:name="_Toc501191614"/>
      <w:r>
        <w:rPr>
          <w:rFonts w:hint="eastAsia" w:ascii="宋体" w:hAnsi="宋体" w:eastAsia="宋体" w:cs="宋体"/>
          <w:sz w:val="28"/>
          <w:szCs w:val="28"/>
        </w:rPr>
        <w:t>四、</w:t>
      </w:r>
      <w:r>
        <w:rPr>
          <w:rFonts w:ascii="宋体" w:hAnsi="宋体" w:eastAsia="宋体" w:cs="宋体"/>
          <w:sz w:val="28"/>
          <w:szCs w:val="28"/>
        </w:rPr>
        <w:t xml:space="preserve"> </w:t>
      </w:r>
      <w:r>
        <w:rPr>
          <w:rFonts w:hint="eastAsia" w:ascii="宋体" w:hAnsi="宋体" w:eastAsia="宋体" w:cs="宋体"/>
          <w:sz w:val="28"/>
          <w:szCs w:val="28"/>
        </w:rPr>
        <w:t>操作示教</w:t>
      </w:r>
      <w:bookmarkEnd w:id="13"/>
    </w:p>
    <w:p>
      <w:pPr>
        <w:spacing w:line="360" w:lineRule="auto"/>
        <w:ind w:firstLine="560" w:firstLineChars="200"/>
        <w:rPr>
          <w:rFonts w:ascii="宋体" w:cs="宋体"/>
          <w:sz w:val="28"/>
          <w:szCs w:val="28"/>
          <w:shd w:val="clear" w:color="auto" w:fill="FFFFFF"/>
        </w:rPr>
      </w:pPr>
      <w:r>
        <w:rPr>
          <w:rFonts w:ascii="宋体" w:hAnsi="宋体" w:cs="宋体"/>
          <w:sz w:val="28"/>
          <w:szCs w:val="28"/>
          <w:shd w:val="clear" w:color="auto" w:fill="FFFFFF"/>
        </w:rPr>
        <w:t>1</w:t>
      </w:r>
      <w:r>
        <w:rPr>
          <w:rFonts w:hint="eastAsia" w:ascii="宋体" w:hAnsi="宋体" w:cs="宋体"/>
          <w:sz w:val="28"/>
          <w:szCs w:val="28"/>
          <w:shd w:val="clear" w:color="auto" w:fill="FFFFFF"/>
        </w:rPr>
        <w:t>、</w:t>
      </w:r>
      <w:r>
        <w:rPr>
          <w:rFonts w:ascii="宋体" w:hAnsi="宋体" w:cs="宋体"/>
          <w:sz w:val="28"/>
          <w:szCs w:val="28"/>
          <w:shd w:val="clear" w:color="auto" w:fill="FFFFFF"/>
        </w:rPr>
        <w:t xml:space="preserve"> </w:t>
      </w:r>
      <w:r>
        <w:rPr>
          <w:rFonts w:hint="eastAsia" w:ascii="宋体" w:hAnsi="宋体" w:cs="宋体"/>
          <w:sz w:val="28"/>
          <w:szCs w:val="28"/>
          <w:shd w:val="clear" w:color="auto" w:fill="FFFFFF"/>
        </w:rPr>
        <w:t>完成日常工作的前提下，尽量创造条件让进修医生独立操作检查病人，老师复核讲解。</w:t>
      </w:r>
    </w:p>
    <w:p>
      <w:pPr>
        <w:spacing w:line="360" w:lineRule="auto"/>
        <w:ind w:firstLine="560" w:firstLineChars="200"/>
        <w:rPr>
          <w:rFonts w:ascii="宋体" w:cs="宋体"/>
          <w:sz w:val="28"/>
          <w:szCs w:val="28"/>
          <w:shd w:val="clear" w:color="auto" w:fill="FFFFFF"/>
        </w:rPr>
      </w:pPr>
      <w:r>
        <w:rPr>
          <w:rFonts w:ascii="宋体" w:hAnsi="宋体" w:cs="宋体"/>
          <w:sz w:val="28"/>
          <w:szCs w:val="28"/>
          <w:shd w:val="clear" w:color="auto" w:fill="FFFFFF"/>
        </w:rPr>
        <w:t>2</w:t>
      </w:r>
      <w:r>
        <w:rPr>
          <w:rFonts w:hint="eastAsia" w:ascii="宋体" w:hAnsi="宋体" w:cs="宋体"/>
          <w:sz w:val="28"/>
          <w:szCs w:val="28"/>
          <w:shd w:val="clear" w:color="auto" w:fill="FFFFFF"/>
        </w:rPr>
        <w:t>、尽量根据进修医生的需求，安排介入性超声的观摩与学习，条件成熟时可与带教老师配合操作，以基本掌握穿刺活检、胸腹水置管引流的基本操作方法等。</w:t>
      </w:r>
    </w:p>
    <w:p>
      <w:pPr>
        <w:pStyle w:val="3"/>
        <w:rPr>
          <w:rFonts w:ascii="宋体" w:hAnsi="宋体" w:eastAsia="宋体" w:cs="宋体"/>
          <w:sz w:val="28"/>
          <w:szCs w:val="28"/>
        </w:rPr>
      </w:pPr>
      <w:bookmarkStart w:id="14" w:name="_Toc501191615"/>
      <w:r>
        <w:rPr>
          <w:rFonts w:hint="eastAsia" w:ascii="宋体" w:hAnsi="宋体" w:eastAsia="宋体" w:cs="宋体"/>
          <w:sz w:val="28"/>
          <w:szCs w:val="28"/>
        </w:rPr>
        <w:t>五、</w:t>
      </w:r>
      <w:r>
        <w:rPr>
          <w:rFonts w:ascii="宋体" w:hAnsi="宋体" w:eastAsia="宋体" w:cs="宋体"/>
          <w:sz w:val="28"/>
          <w:szCs w:val="28"/>
        </w:rPr>
        <w:t xml:space="preserve"> </w:t>
      </w:r>
      <w:r>
        <w:rPr>
          <w:rFonts w:hint="eastAsia" w:ascii="宋体" w:hAnsi="宋体" w:eastAsia="宋体" w:cs="宋体"/>
          <w:sz w:val="28"/>
          <w:szCs w:val="28"/>
        </w:rPr>
        <w:t>继续教育</w:t>
      </w:r>
      <w:bookmarkEnd w:id="14"/>
    </w:p>
    <w:p>
      <w:pPr>
        <w:numPr>
          <w:ilvl w:val="0"/>
          <w:numId w:val="3"/>
        </w:numPr>
        <w:spacing w:line="360" w:lineRule="auto"/>
        <w:ind w:firstLine="560" w:firstLineChars="200"/>
        <w:rPr>
          <w:rFonts w:ascii="宋体" w:cs="宋体"/>
          <w:sz w:val="28"/>
          <w:szCs w:val="28"/>
          <w:shd w:val="clear" w:color="auto" w:fill="FFFFFF"/>
        </w:rPr>
      </w:pPr>
      <w:r>
        <w:rPr>
          <w:rFonts w:hint="eastAsia" w:ascii="宋体" w:hAnsi="宋体" w:cs="宋体"/>
          <w:sz w:val="28"/>
          <w:szCs w:val="28"/>
          <w:shd w:val="clear" w:color="auto" w:fill="FFFFFF"/>
        </w:rPr>
        <w:t>鼓励进修医师参加或旁听医院举办的各种继续教育学习班；</w:t>
      </w:r>
    </w:p>
    <w:p>
      <w:pPr>
        <w:numPr>
          <w:ilvl w:val="0"/>
          <w:numId w:val="3"/>
        </w:numPr>
        <w:spacing w:line="360" w:lineRule="auto"/>
        <w:ind w:firstLine="560" w:firstLineChars="200"/>
        <w:rPr>
          <w:rFonts w:ascii="宋体" w:cs="宋体"/>
          <w:sz w:val="28"/>
          <w:szCs w:val="28"/>
          <w:shd w:val="clear" w:color="auto" w:fill="FFFFFF"/>
        </w:rPr>
      </w:pPr>
      <w:r>
        <w:rPr>
          <w:rFonts w:hint="eastAsia" w:ascii="宋体" w:hAnsi="宋体" w:cs="宋体"/>
          <w:sz w:val="28"/>
          <w:szCs w:val="28"/>
          <w:shd w:val="clear" w:color="auto" w:fill="FFFFFF"/>
        </w:rPr>
        <w:t>向进修医师推送超声诊疗常规和各学习班的教材；</w:t>
      </w:r>
    </w:p>
    <w:p>
      <w:pPr>
        <w:pStyle w:val="3"/>
        <w:rPr>
          <w:rFonts w:ascii="宋体" w:hAnsi="宋体" w:eastAsia="宋体" w:cs="宋体"/>
          <w:sz w:val="28"/>
          <w:szCs w:val="28"/>
        </w:rPr>
      </w:pPr>
      <w:bookmarkStart w:id="15" w:name="_Toc501191616"/>
      <w:r>
        <w:rPr>
          <w:rFonts w:hint="eastAsia" w:ascii="宋体" w:hAnsi="宋体" w:eastAsia="宋体" w:cs="宋体"/>
          <w:sz w:val="28"/>
          <w:szCs w:val="28"/>
        </w:rPr>
        <w:t>六、</w:t>
      </w:r>
      <w:r>
        <w:rPr>
          <w:rFonts w:ascii="宋体" w:hAnsi="宋体" w:eastAsia="宋体" w:cs="宋体"/>
          <w:sz w:val="28"/>
          <w:szCs w:val="28"/>
        </w:rPr>
        <w:t xml:space="preserve"> </w:t>
      </w:r>
      <w:r>
        <w:rPr>
          <w:rFonts w:hint="eastAsia" w:ascii="宋体" w:hAnsi="宋体" w:eastAsia="宋体" w:cs="宋体"/>
          <w:sz w:val="28"/>
          <w:szCs w:val="28"/>
        </w:rPr>
        <w:t>考核考评</w:t>
      </w:r>
      <w:bookmarkEnd w:id="15"/>
    </w:p>
    <w:p>
      <w:pPr>
        <w:numPr>
          <w:ilvl w:val="0"/>
          <w:numId w:val="4"/>
        </w:numPr>
        <w:spacing w:line="360" w:lineRule="auto"/>
        <w:rPr>
          <w:rFonts w:ascii="宋体" w:cs="宋体"/>
          <w:sz w:val="28"/>
          <w:szCs w:val="28"/>
          <w:shd w:val="clear" w:color="auto" w:fill="FFFFFF"/>
        </w:rPr>
      </w:pPr>
      <w:r>
        <w:rPr>
          <w:rFonts w:hint="eastAsia" w:ascii="宋体" w:hAnsi="宋体" w:cs="宋体"/>
          <w:sz w:val="28"/>
          <w:szCs w:val="28"/>
          <w:shd w:val="clear" w:color="auto" w:fill="FFFFFF"/>
        </w:rPr>
        <w:t>进修生结束前按照教育处要求，填写好进修生考核记录手册；</w:t>
      </w:r>
    </w:p>
    <w:p>
      <w:pPr>
        <w:numPr>
          <w:ilvl w:val="0"/>
          <w:numId w:val="4"/>
        </w:numPr>
        <w:spacing w:line="360" w:lineRule="auto"/>
        <w:rPr>
          <w:rFonts w:ascii="宋体" w:cs="宋体"/>
          <w:sz w:val="28"/>
          <w:szCs w:val="28"/>
          <w:shd w:val="clear" w:color="auto" w:fill="FFFFFF"/>
        </w:rPr>
      </w:pPr>
      <w:r>
        <w:rPr>
          <w:rFonts w:hint="eastAsia" w:ascii="宋体" w:hAnsi="宋体" w:cs="宋体"/>
          <w:sz w:val="28"/>
          <w:szCs w:val="28"/>
          <w:shd w:val="clear" w:color="auto" w:fill="FFFFFF"/>
        </w:rPr>
        <w:t>进修结束时，由</w:t>
      </w:r>
      <w:r>
        <w:rPr>
          <w:rFonts w:hint="eastAsia" w:ascii="宋体" w:hAnsi="宋体" w:cs="宋体"/>
          <w:sz w:val="28"/>
          <w:szCs w:val="28"/>
          <w:shd w:val="clear" w:color="auto" w:fill="FFFFFF"/>
          <w:lang w:val="en-US" w:eastAsia="zh-CN"/>
        </w:rPr>
        <w:t>超声科安排</w:t>
      </w:r>
      <w:r>
        <w:rPr>
          <w:rFonts w:hint="eastAsia" w:ascii="宋体" w:hAnsi="宋体" w:cs="宋体"/>
          <w:sz w:val="28"/>
          <w:szCs w:val="28"/>
          <w:shd w:val="clear" w:color="auto" w:fill="FFFFFF"/>
        </w:rPr>
        <w:t>理论考试</w:t>
      </w:r>
      <w:r>
        <w:rPr>
          <w:rFonts w:hint="eastAsia" w:ascii="宋体" w:hAnsi="宋体" w:cs="宋体"/>
          <w:sz w:val="28"/>
          <w:szCs w:val="28"/>
          <w:shd w:val="clear" w:color="auto" w:fill="FFFFFF"/>
          <w:lang w:eastAsia="zh-CN"/>
        </w:rPr>
        <w:t>，</w:t>
      </w:r>
      <w:r>
        <w:rPr>
          <w:rFonts w:hint="eastAsia" w:ascii="宋体" w:hAnsi="宋体" w:cs="宋体"/>
          <w:sz w:val="28"/>
          <w:szCs w:val="28"/>
          <w:shd w:val="clear" w:color="auto" w:fill="FFFFFF"/>
          <w:lang w:val="en-US" w:eastAsia="zh-CN"/>
        </w:rPr>
        <w:t>试卷交教育处备案</w:t>
      </w:r>
      <w:r>
        <w:rPr>
          <w:rFonts w:hint="eastAsia" w:ascii="宋体" w:hAnsi="宋体" w:cs="宋体"/>
          <w:sz w:val="28"/>
          <w:szCs w:val="28"/>
          <w:shd w:val="clear" w:color="auto" w:fill="FFFFFF"/>
        </w:rPr>
        <w:t>；</w:t>
      </w:r>
    </w:p>
    <w:p>
      <w:pPr>
        <w:numPr>
          <w:ilvl w:val="0"/>
          <w:numId w:val="4"/>
        </w:numPr>
        <w:spacing w:line="360" w:lineRule="auto"/>
        <w:rPr>
          <w:rFonts w:ascii="宋体" w:cs="宋体"/>
          <w:sz w:val="28"/>
          <w:szCs w:val="28"/>
          <w:shd w:val="clear" w:color="auto" w:fill="FFFFFF"/>
        </w:rPr>
      </w:pPr>
      <w:r>
        <w:rPr>
          <w:rFonts w:hint="eastAsia" w:ascii="宋体" w:hAnsi="宋体" w:cs="宋体"/>
          <w:sz w:val="28"/>
          <w:szCs w:val="28"/>
          <w:shd w:val="clear" w:color="auto" w:fill="FFFFFF"/>
        </w:rPr>
        <w:t>由科主任任命考核老师，对进修医师进行技能操作考核，保留试卷原件，试卷上须有考核老师评卷痕迹、分数，签名并注明日期；</w:t>
      </w:r>
    </w:p>
    <w:p>
      <w:pPr>
        <w:numPr>
          <w:ilvl w:val="0"/>
          <w:numId w:val="4"/>
        </w:numPr>
        <w:spacing w:line="360" w:lineRule="auto"/>
        <w:rPr>
          <w:rFonts w:ascii="宋体" w:cs="宋体"/>
          <w:sz w:val="28"/>
          <w:szCs w:val="28"/>
          <w:shd w:val="clear" w:color="auto" w:fill="FFFFFF"/>
        </w:rPr>
      </w:pPr>
      <w:r>
        <w:rPr>
          <w:rFonts w:hint="eastAsia" w:ascii="宋体" w:hAnsi="宋体" w:cs="宋体"/>
          <w:sz w:val="28"/>
          <w:szCs w:val="28"/>
          <w:shd w:val="clear" w:color="auto" w:fill="FFFFFF"/>
        </w:rPr>
        <w:t>进修生进修结束后应对其所学内容进行概括总结、并制作</w:t>
      </w:r>
      <w:r>
        <w:rPr>
          <w:rFonts w:ascii="宋体" w:hAnsi="宋体" w:cs="宋体"/>
          <w:sz w:val="28"/>
          <w:szCs w:val="28"/>
          <w:shd w:val="clear" w:color="auto" w:fill="FFFFFF"/>
        </w:rPr>
        <w:t>PPT</w:t>
      </w:r>
      <w:r>
        <w:rPr>
          <w:rFonts w:hint="eastAsia" w:ascii="宋体" w:hAnsi="宋体" w:cs="宋体"/>
          <w:sz w:val="28"/>
          <w:szCs w:val="28"/>
          <w:shd w:val="clear" w:color="auto" w:fill="FFFFFF"/>
        </w:rPr>
        <w:t>于科内演讲。</w:t>
      </w:r>
    </w:p>
    <w:p>
      <w:pPr>
        <w:numPr>
          <w:ilvl w:val="0"/>
          <w:numId w:val="4"/>
        </w:numPr>
        <w:spacing w:line="360" w:lineRule="auto"/>
        <w:rPr>
          <w:rFonts w:ascii="宋体" w:cs="宋体"/>
          <w:sz w:val="20"/>
          <w:szCs w:val="20"/>
          <w:shd w:val="clear" w:color="auto" w:fill="FFFFFF"/>
        </w:rPr>
      </w:pPr>
      <w:r>
        <w:rPr>
          <w:rFonts w:hint="eastAsia" w:ascii="宋体" w:hAnsi="宋体" w:cs="宋体"/>
          <w:sz w:val="28"/>
          <w:szCs w:val="28"/>
          <w:shd w:val="clear" w:color="auto" w:fill="FFFFFF"/>
        </w:rPr>
        <w:t>由科主任及带教医师对进修医师平时的职业道德、劳动纪律、临床操作能力、病史书写作出评分。</w:t>
      </w:r>
    </w:p>
    <w:p>
      <w:pPr>
        <w:ind w:firstLine="4760" w:firstLineChars="1700"/>
        <w:rPr>
          <w:rFonts w:ascii="宋体" w:hAnsi="宋体"/>
          <w:bCs/>
          <w:sz w:val="28"/>
          <w:szCs w:val="28"/>
        </w:rPr>
      </w:pPr>
      <w:r>
        <w:rPr>
          <w:rFonts w:hint="eastAsia" w:ascii="宋体" w:hAnsi="宋体"/>
          <w:bCs/>
          <w:sz w:val="28"/>
          <w:szCs w:val="28"/>
        </w:rPr>
        <w:t>超声科主任：唐丽娜</w:t>
      </w:r>
    </w:p>
    <w:p>
      <w:pPr>
        <w:ind w:firstLine="5320" w:firstLineChars="1900"/>
        <w:rPr>
          <w:rFonts w:ascii="宋体" w:hAnsi="宋体"/>
          <w:bCs/>
          <w:sz w:val="28"/>
          <w:szCs w:val="28"/>
          <w:u w:val="single"/>
        </w:rPr>
      </w:pPr>
      <w:r>
        <w:rPr>
          <w:rFonts w:hint="eastAsia" w:ascii="宋体" w:hAnsi="宋体"/>
          <w:bCs/>
          <w:sz w:val="28"/>
          <w:szCs w:val="28"/>
        </w:rPr>
        <w:t xml:space="preserve"> </w:t>
      </w:r>
      <w:r>
        <w:rPr>
          <w:rFonts w:ascii="宋体" w:hAnsi="宋体"/>
          <w:bCs/>
          <w:sz w:val="28"/>
          <w:szCs w:val="28"/>
        </w:rPr>
        <w:t>2024</w:t>
      </w:r>
      <w:r>
        <w:rPr>
          <w:rFonts w:hint="eastAsia" w:ascii="宋体" w:hAnsi="宋体"/>
          <w:bCs/>
          <w:sz w:val="28"/>
          <w:szCs w:val="28"/>
        </w:rPr>
        <w:t>-</w:t>
      </w:r>
      <w:r>
        <w:rPr>
          <w:rFonts w:ascii="宋体" w:hAnsi="宋体"/>
          <w:bCs/>
          <w:sz w:val="28"/>
          <w:szCs w:val="28"/>
        </w:rPr>
        <w:t>03</w:t>
      </w:r>
      <w:r>
        <w:rPr>
          <w:rFonts w:hint="eastAsia" w:ascii="宋体" w:hAnsi="宋体"/>
          <w:bCs/>
          <w:sz w:val="28"/>
          <w:szCs w:val="28"/>
        </w:rPr>
        <w:t>-</w:t>
      </w:r>
      <w:r>
        <w:rPr>
          <w:rFonts w:ascii="宋体" w:hAnsi="宋体"/>
          <w:bCs/>
          <w:sz w:val="28"/>
          <w:szCs w:val="28"/>
        </w:rPr>
        <w:t xml:space="preserve">12    </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weight="0.5pt" joinstyle="miter"/>
          <v:imagedata o:title=""/>
          <o:lock v:ext="edit"/>
          <v:textbox inset="0mm,0mm,0mm,0mm" style="mso-fit-shape-to-text:t;">
            <w:txbxContent>
              <w:p>
                <w:pPr>
                  <w:snapToGrid w:val="0"/>
                  <w:rPr>
                    <w:sz w:val="18"/>
                  </w:rPr>
                </w:pPr>
                <w:r>
                  <w:rPr>
                    <w:rFonts w:hint="eastAsia"/>
                  </w:rPr>
                  <w:t>第</w:t>
                </w:r>
                <w:r>
                  <w:rPr>
                    <w:sz w:val="18"/>
                  </w:rPr>
                  <w:t xml:space="preserve"> </w:t>
                </w:r>
                <w:r>
                  <w:rPr>
                    <w:sz w:val="18"/>
                  </w:rPr>
                  <w:fldChar w:fldCharType="begin"/>
                </w:r>
                <w:r>
                  <w:rPr>
                    <w:sz w:val="18"/>
                  </w:rPr>
                  <w:instrText xml:space="preserve"> PAGE  \* MERGEFORMAT </w:instrText>
                </w:r>
                <w:r>
                  <w:rPr>
                    <w:sz w:val="18"/>
                  </w:rPr>
                  <w:fldChar w:fldCharType="separate"/>
                </w:r>
                <w:r>
                  <w:t>7</w:t>
                </w:r>
                <w:r>
                  <w:rPr>
                    <w:sz w:val="18"/>
                  </w:rPr>
                  <w:fldChar w:fldCharType="end"/>
                </w:r>
                <w:r>
                  <w:rPr>
                    <w:sz w:val="18"/>
                  </w:rPr>
                  <w:t xml:space="preserve"> </w:t>
                </w:r>
                <w:r>
                  <w:rPr>
                    <w:rFonts w:hint="eastAsia"/>
                    <w:sz w:val="18"/>
                  </w:rPr>
                  <w:t>页</w:t>
                </w:r>
                <w:r>
                  <w:rPr>
                    <w:sz w:val="18"/>
                  </w:rPr>
                  <w:t xml:space="preserve"> </w:t>
                </w:r>
                <w:r>
                  <w:rPr>
                    <w:rFonts w:hint="eastAsia"/>
                    <w:sz w:val="18"/>
                  </w:rPr>
                  <w:t>共</w:t>
                </w:r>
                <w:r>
                  <w:rPr>
                    <w:sz w:val="18"/>
                  </w:rPr>
                  <w:t xml:space="preserve"> </w:t>
                </w:r>
                <w:r>
                  <w:fldChar w:fldCharType="begin"/>
                </w:r>
                <w:r>
                  <w:instrText xml:space="preserve"> NUMPAGES  \* MERGEFORMAT </w:instrText>
                </w:r>
                <w:r>
                  <w:fldChar w:fldCharType="separate"/>
                </w:r>
                <w:r>
                  <w:rPr>
                    <w:sz w:val="18"/>
                  </w:rPr>
                  <w:t>9</w:t>
                </w:r>
                <w:r>
                  <w:rPr>
                    <w:sz w:val="18"/>
                  </w:rPr>
                  <w:fldChar w:fldCharType="end"/>
                </w:r>
                <w:r>
                  <w:rPr>
                    <w:sz w:val="18"/>
                  </w:rPr>
                  <w:t xml:space="preserve"> </w:t>
                </w:r>
                <w:r>
                  <w:rPr>
                    <w:rFonts w:hint="eastAsia"/>
                    <w:sz w:val="18"/>
                  </w:rPr>
                  <w:t>页</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top w:val="none" w:color="auto" w:sz="0" w:space="0"/>
        <w:left w:val="none" w:color="auto" w:sz="0" w:space="0"/>
        <w:bottom w:val="none" w:color="auto" w:sz="0" w:space="0"/>
        <w:right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top w:val="none" w:color="auto" w:sz="0" w:space="0"/>
        <w:left w:val="none" w:color="auto" w:sz="0" w:space="0"/>
        <w:bottom w:val="none" w:color="auto" w:sz="0" w:space="0"/>
        <w:right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top w:val="none" w:color="auto" w:sz="0" w:space="0"/>
        <w:left w:val="none" w:color="auto" w:sz="0" w:space="0"/>
        <w:bottom w:val="none" w:color="auto" w:sz="0" w:space="0"/>
        <w:right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9479CC"/>
    <w:multiLevelType w:val="multilevel"/>
    <w:tmpl w:val="2F9479CC"/>
    <w:lvl w:ilvl="0" w:tentative="0">
      <w:start w:val="1"/>
      <w:numFmt w:val="decimal"/>
      <w:suff w:val="nothing"/>
      <w:lvlText w:val="%1．"/>
      <w:lvlJc w:val="left"/>
      <w:pPr>
        <w:ind w:firstLine="400"/>
      </w:pPr>
      <w:rPr>
        <w:rFonts w:hint="default" w:cs="Times New Roman"/>
        <w:color w:val="auto"/>
        <w:sz w:val="28"/>
        <w:szCs w:val="28"/>
      </w:rPr>
    </w:lvl>
    <w:lvl w:ilvl="1" w:tentative="0">
      <w:start w:val="1"/>
      <w:numFmt w:val="lowerLetter"/>
      <w:lvlText w:val="%2)"/>
      <w:lvlJc w:val="left"/>
      <w:pPr>
        <w:tabs>
          <w:tab w:val="left" w:pos="1400"/>
        </w:tabs>
        <w:ind w:left="1400" w:hanging="420"/>
      </w:pPr>
      <w:rPr>
        <w:rFonts w:cs="Times New Roman"/>
      </w:rPr>
    </w:lvl>
    <w:lvl w:ilvl="2" w:tentative="0">
      <w:start w:val="1"/>
      <w:numFmt w:val="lowerRoman"/>
      <w:lvlText w:val="%3."/>
      <w:lvlJc w:val="right"/>
      <w:pPr>
        <w:tabs>
          <w:tab w:val="left" w:pos="1820"/>
        </w:tabs>
        <w:ind w:left="1820" w:hanging="420"/>
      </w:pPr>
      <w:rPr>
        <w:rFonts w:cs="Times New Roman"/>
      </w:rPr>
    </w:lvl>
    <w:lvl w:ilvl="3" w:tentative="0">
      <w:start w:val="1"/>
      <w:numFmt w:val="decimal"/>
      <w:lvlText w:val="%4."/>
      <w:lvlJc w:val="left"/>
      <w:pPr>
        <w:tabs>
          <w:tab w:val="left" w:pos="2240"/>
        </w:tabs>
        <w:ind w:left="2240" w:hanging="420"/>
      </w:pPr>
      <w:rPr>
        <w:rFonts w:cs="Times New Roman"/>
      </w:rPr>
    </w:lvl>
    <w:lvl w:ilvl="4" w:tentative="0">
      <w:start w:val="1"/>
      <w:numFmt w:val="lowerLetter"/>
      <w:lvlText w:val="%5)"/>
      <w:lvlJc w:val="left"/>
      <w:pPr>
        <w:tabs>
          <w:tab w:val="left" w:pos="2660"/>
        </w:tabs>
        <w:ind w:left="2660" w:hanging="420"/>
      </w:pPr>
      <w:rPr>
        <w:rFonts w:cs="Times New Roman"/>
      </w:rPr>
    </w:lvl>
    <w:lvl w:ilvl="5" w:tentative="0">
      <w:start w:val="1"/>
      <w:numFmt w:val="lowerRoman"/>
      <w:lvlText w:val="%6."/>
      <w:lvlJc w:val="right"/>
      <w:pPr>
        <w:tabs>
          <w:tab w:val="left" w:pos="3080"/>
        </w:tabs>
        <w:ind w:left="3080" w:hanging="420"/>
      </w:pPr>
      <w:rPr>
        <w:rFonts w:cs="Times New Roman"/>
      </w:rPr>
    </w:lvl>
    <w:lvl w:ilvl="6" w:tentative="0">
      <w:start w:val="1"/>
      <w:numFmt w:val="decimal"/>
      <w:lvlText w:val="%7."/>
      <w:lvlJc w:val="left"/>
      <w:pPr>
        <w:tabs>
          <w:tab w:val="left" w:pos="3500"/>
        </w:tabs>
        <w:ind w:left="3500" w:hanging="420"/>
      </w:pPr>
      <w:rPr>
        <w:rFonts w:cs="Times New Roman"/>
      </w:rPr>
    </w:lvl>
    <w:lvl w:ilvl="7" w:tentative="0">
      <w:start w:val="1"/>
      <w:numFmt w:val="lowerLetter"/>
      <w:lvlText w:val="%8)"/>
      <w:lvlJc w:val="left"/>
      <w:pPr>
        <w:tabs>
          <w:tab w:val="left" w:pos="3920"/>
        </w:tabs>
        <w:ind w:left="3920" w:hanging="420"/>
      </w:pPr>
      <w:rPr>
        <w:rFonts w:cs="Times New Roman"/>
      </w:rPr>
    </w:lvl>
    <w:lvl w:ilvl="8" w:tentative="0">
      <w:start w:val="1"/>
      <w:numFmt w:val="lowerRoman"/>
      <w:lvlText w:val="%9."/>
      <w:lvlJc w:val="right"/>
      <w:pPr>
        <w:tabs>
          <w:tab w:val="left" w:pos="4340"/>
        </w:tabs>
        <w:ind w:left="4340" w:hanging="420"/>
      </w:pPr>
      <w:rPr>
        <w:rFonts w:cs="Times New Roman"/>
      </w:rPr>
    </w:lvl>
  </w:abstractNum>
  <w:abstractNum w:abstractNumId="1">
    <w:nsid w:val="573E8EC8"/>
    <w:multiLevelType w:val="singleLevel"/>
    <w:tmpl w:val="573E8EC8"/>
    <w:lvl w:ilvl="0" w:tentative="0">
      <w:start w:val="1"/>
      <w:numFmt w:val="decimal"/>
      <w:suff w:val="nothing"/>
      <w:lvlText w:val="%1．"/>
      <w:lvlJc w:val="left"/>
      <w:pPr>
        <w:ind w:firstLine="400"/>
      </w:pPr>
      <w:rPr>
        <w:rFonts w:hint="default" w:cs="Times New Roman"/>
      </w:rPr>
    </w:lvl>
  </w:abstractNum>
  <w:abstractNum w:abstractNumId="2">
    <w:nsid w:val="573E90A8"/>
    <w:multiLevelType w:val="singleLevel"/>
    <w:tmpl w:val="573E90A8"/>
    <w:lvl w:ilvl="0" w:tentative="0">
      <w:start w:val="1"/>
      <w:numFmt w:val="decimal"/>
      <w:suff w:val="nothing"/>
      <w:lvlText w:val="%1．"/>
      <w:lvlJc w:val="left"/>
      <w:pPr>
        <w:ind w:firstLine="400"/>
      </w:pPr>
      <w:rPr>
        <w:rFonts w:hint="default" w:cs="Times New Roman"/>
      </w:rPr>
    </w:lvl>
  </w:abstractNum>
  <w:abstractNum w:abstractNumId="3">
    <w:nsid w:val="573E90EF"/>
    <w:multiLevelType w:val="singleLevel"/>
    <w:tmpl w:val="573E90EF"/>
    <w:lvl w:ilvl="0" w:tentative="0">
      <w:start w:val="1"/>
      <w:numFmt w:val="decimal"/>
      <w:suff w:val="nothing"/>
      <w:lvlText w:val="%1．"/>
      <w:lvlJc w:val="left"/>
      <w:pPr>
        <w:ind w:firstLine="400"/>
      </w:pPr>
      <w:rPr>
        <w:rFonts w:hint="default" w:cs="Times New Roman"/>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OThjM2YyOWFmOTVjZWM5MGQ1NGUzMDM4MWY5NDI3YWYifQ=="/>
  </w:docVars>
  <w:rsids>
    <w:rsidRoot w:val="2A156151"/>
    <w:rsid w:val="000438FE"/>
    <w:rsid w:val="00054DBC"/>
    <w:rsid w:val="00130616"/>
    <w:rsid w:val="00155737"/>
    <w:rsid w:val="00164955"/>
    <w:rsid w:val="001A1B3D"/>
    <w:rsid w:val="00227E22"/>
    <w:rsid w:val="00242DB8"/>
    <w:rsid w:val="00244871"/>
    <w:rsid w:val="002677FC"/>
    <w:rsid w:val="002919F8"/>
    <w:rsid w:val="002A57E7"/>
    <w:rsid w:val="00300C35"/>
    <w:rsid w:val="00351510"/>
    <w:rsid w:val="003B3218"/>
    <w:rsid w:val="003D490C"/>
    <w:rsid w:val="003D796D"/>
    <w:rsid w:val="003E783C"/>
    <w:rsid w:val="004216AB"/>
    <w:rsid w:val="004270F9"/>
    <w:rsid w:val="00483E78"/>
    <w:rsid w:val="004A0211"/>
    <w:rsid w:val="004D6ADE"/>
    <w:rsid w:val="004D7166"/>
    <w:rsid w:val="005127EA"/>
    <w:rsid w:val="005151BA"/>
    <w:rsid w:val="00517CA8"/>
    <w:rsid w:val="00551A26"/>
    <w:rsid w:val="00552F4F"/>
    <w:rsid w:val="005A0FFA"/>
    <w:rsid w:val="005A1D60"/>
    <w:rsid w:val="005A507D"/>
    <w:rsid w:val="005E5FFE"/>
    <w:rsid w:val="0065407B"/>
    <w:rsid w:val="0065730E"/>
    <w:rsid w:val="0066456F"/>
    <w:rsid w:val="006A7B03"/>
    <w:rsid w:val="006B5B5A"/>
    <w:rsid w:val="00741D23"/>
    <w:rsid w:val="007717D0"/>
    <w:rsid w:val="00794A87"/>
    <w:rsid w:val="007B1537"/>
    <w:rsid w:val="007E3888"/>
    <w:rsid w:val="00827E02"/>
    <w:rsid w:val="0084041D"/>
    <w:rsid w:val="00854E2F"/>
    <w:rsid w:val="00895D6E"/>
    <w:rsid w:val="008A6FB7"/>
    <w:rsid w:val="008D198F"/>
    <w:rsid w:val="009055E3"/>
    <w:rsid w:val="0091256E"/>
    <w:rsid w:val="00957984"/>
    <w:rsid w:val="009A3B9A"/>
    <w:rsid w:val="009B7322"/>
    <w:rsid w:val="009F53DF"/>
    <w:rsid w:val="00A4639A"/>
    <w:rsid w:val="00A60EC7"/>
    <w:rsid w:val="00A73953"/>
    <w:rsid w:val="00A74F6C"/>
    <w:rsid w:val="00AA36D8"/>
    <w:rsid w:val="00AE0F0F"/>
    <w:rsid w:val="00B0462C"/>
    <w:rsid w:val="00B33DC1"/>
    <w:rsid w:val="00B33E28"/>
    <w:rsid w:val="00B5573E"/>
    <w:rsid w:val="00B5574E"/>
    <w:rsid w:val="00B90D4B"/>
    <w:rsid w:val="00BA7C92"/>
    <w:rsid w:val="00BB1303"/>
    <w:rsid w:val="00BB5DEE"/>
    <w:rsid w:val="00BD2C56"/>
    <w:rsid w:val="00BD5338"/>
    <w:rsid w:val="00BD5404"/>
    <w:rsid w:val="00C1648C"/>
    <w:rsid w:val="00C24961"/>
    <w:rsid w:val="00C2626B"/>
    <w:rsid w:val="00C53ABF"/>
    <w:rsid w:val="00C70935"/>
    <w:rsid w:val="00C9346F"/>
    <w:rsid w:val="00CD4956"/>
    <w:rsid w:val="00CE5868"/>
    <w:rsid w:val="00D41F4F"/>
    <w:rsid w:val="00D546D1"/>
    <w:rsid w:val="00D84B1B"/>
    <w:rsid w:val="00DA044A"/>
    <w:rsid w:val="00DB054E"/>
    <w:rsid w:val="00DF3512"/>
    <w:rsid w:val="00E1364C"/>
    <w:rsid w:val="00E33C7B"/>
    <w:rsid w:val="00E344C4"/>
    <w:rsid w:val="00E51278"/>
    <w:rsid w:val="00E825E3"/>
    <w:rsid w:val="00EA1191"/>
    <w:rsid w:val="00EA751B"/>
    <w:rsid w:val="00ED15A4"/>
    <w:rsid w:val="00F24770"/>
    <w:rsid w:val="00F524CE"/>
    <w:rsid w:val="00F869A1"/>
    <w:rsid w:val="00F9088C"/>
    <w:rsid w:val="00F946CE"/>
    <w:rsid w:val="00FE0BAA"/>
    <w:rsid w:val="00FF2246"/>
    <w:rsid w:val="00FF23F0"/>
    <w:rsid w:val="08127D58"/>
    <w:rsid w:val="0DB00A29"/>
    <w:rsid w:val="1D4E1584"/>
    <w:rsid w:val="21B93B7F"/>
    <w:rsid w:val="2598640A"/>
    <w:rsid w:val="279216F7"/>
    <w:rsid w:val="2A156151"/>
    <w:rsid w:val="2CB32BF7"/>
    <w:rsid w:val="2D000E91"/>
    <w:rsid w:val="2F37375B"/>
    <w:rsid w:val="35F226A6"/>
    <w:rsid w:val="36FC6156"/>
    <w:rsid w:val="43BE715B"/>
    <w:rsid w:val="4408450A"/>
    <w:rsid w:val="490966A2"/>
    <w:rsid w:val="4F5931AD"/>
    <w:rsid w:val="51830C34"/>
    <w:rsid w:val="59BC6A85"/>
    <w:rsid w:val="66DD1B43"/>
    <w:rsid w:val="67B5081B"/>
    <w:rsid w:val="692C0882"/>
    <w:rsid w:val="6A616AED"/>
    <w:rsid w:val="6CC94963"/>
    <w:rsid w:val="6F3A2797"/>
    <w:rsid w:val="71DF612B"/>
    <w:rsid w:val="71E37ACF"/>
    <w:rsid w:val="79420C9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uiPriority="99" w:name="Normal Indent" w:locked="1"/>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uiPriority="1"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ocked="1"/>
    <w:lsdException w:uiPriority="99" w:name="FollowedHyperlink" w:locked="1"/>
    <w:lsdException w:qFormat="1" w:unhideWhenUsed="0" w:uiPriority="0" w:semiHidden="0" w:name="Strong"/>
    <w:lsdException w:qFormat="1" w:unhideWhenUsed="0" w:uiPriority="0" w:semiHidden="0" w:name="Emphasis"/>
    <w:lsdException w:uiPriority="99" w:name="Document Map" w:locked="1"/>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22"/>
    <w:autoRedefine/>
    <w:qFormat/>
    <w:uiPriority w:val="99"/>
    <w:pPr>
      <w:keepNext/>
      <w:keepLines/>
      <w:spacing w:line="576" w:lineRule="auto"/>
      <w:outlineLvl w:val="0"/>
    </w:pPr>
    <w:rPr>
      <w:b/>
      <w:kern w:val="44"/>
      <w:sz w:val="44"/>
    </w:rPr>
  </w:style>
  <w:style w:type="paragraph" w:styleId="3">
    <w:name w:val="heading 2"/>
    <w:basedOn w:val="1"/>
    <w:next w:val="1"/>
    <w:link w:val="23"/>
    <w:qFormat/>
    <w:uiPriority w:val="99"/>
    <w:pPr>
      <w:keepNext/>
      <w:keepLines/>
      <w:spacing w:line="413" w:lineRule="auto"/>
      <w:outlineLvl w:val="1"/>
    </w:pPr>
    <w:rPr>
      <w:rFonts w:ascii="Arial" w:hAnsi="Arial" w:eastAsia="黑体"/>
      <w:b/>
      <w:sz w:val="32"/>
    </w:rPr>
  </w:style>
  <w:style w:type="character" w:default="1" w:styleId="19">
    <w:name w:val="Default Paragraph Font"/>
    <w:semiHidden/>
    <w:unhideWhenUsed/>
    <w:uiPriority w:val="1"/>
  </w:style>
  <w:style w:type="table" w:default="1" w:styleId="17">
    <w:name w:val="Normal Table"/>
    <w:semiHidden/>
    <w:unhideWhenUsed/>
    <w:uiPriority w:val="99"/>
    <w:tblPr>
      <w:tblCellMar>
        <w:top w:w="0" w:type="dxa"/>
        <w:left w:w="108" w:type="dxa"/>
        <w:bottom w:w="0" w:type="dxa"/>
        <w:right w:w="108" w:type="dxa"/>
      </w:tblCellMar>
    </w:tblPr>
  </w:style>
  <w:style w:type="paragraph" w:styleId="4">
    <w:name w:val="toc 7"/>
    <w:basedOn w:val="1"/>
    <w:next w:val="1"/>
    <w:autoRedefine/>
    <w:qFormat/>
    <w:uiPriority w:val="99"/>
    <w:pPr>
      <w:ind w:left="2520" w:leftChars="1200"/>
    </w:pPr>
  </w:style>
  <w:style w:type="paragraph" w:styleId="5">
    <w:name w:val="annotation text"/>
    <w:basedOn w:val="1"/>
    <w:link w:val="24"/>
    <w:autoRedefine/>
    <w:qFormat/>
    <w:uiPriority w:val="99"/>
    <w:pPr>
      <w:jc w:val="left"/>
    </w:pPr>
  </w:style>
  <w:style w:type="paragraph" w:styleId="6">
    <w:name w:val="toc 5"/>
    <w:basedOn w:val="1"/>
    <w:next w:val="1"/>
    <w:uiPriority w:val="99"/>
    <w:pPr>
      <w:ind w:left="1680" w:leftChars="800"/>
    </w:pPr>
  </w:style>
  <w:style w:type="paragraph" w:styleId="7">
    <w:name w:val="toc 3"/>
    <w:basedOn w:val="1"/>
    <w:next w:val="1"/>
    <w:autoRedefine/>
    <w:qFormat/>
    <w:uiPriority w:val="99"/>
    <w:pPr>
      <w:ind w:left="840" w:leftChars="400"/>
    </w:pPr>
  </w:style>
  <w:style w:type="paragraph" w:styleId="8">
    <w:name w:val="toc 8"/>
    <w:basedOn w:val="1"/>
    <w:next w:val="1"/>
    <w:autoRedefine/>
    <w:qFormat/>
    <w:uiPriority w:val="99"/>
    <w:pPr>
      <w:ind w:left="2940" w:leftChars="1400"/>
    </w:pPr>
  </w:style>
  <w:style w:type="paragraph" w:styleId="9">
    <w:name w:val="Balloon Text"/>
    <w:basedOn w:val="1"/>
    <w:link w:val="27"/>
    <w:autoRedefine/>
    <w:semiHidden/>
    <w:qFormat/>
    <w:uiPriority w:val="99"/>
    <w:rPr>
      <w:sz w:val="18"/>
      <w:szCs w:val="18"/>
    </w:rPr>
  </w:style>
  <w:style w:type="paragraph" w:styleId="10">
    <w:name w:val="footer"/>
    <w:basedOn w:val="1"/>
    <w:link w:val="25"/>
    <w:autoRedefine/>
    <w:qFormat/>
    <w:uiPriority w:val="99"/>
    <w:pPr>
      <w:tabs>
        <w:tab w:val="center" w:pos="4153"/>
        <w:tab w:val="right" w:pos="8306"/>
      </w:tabs>
      <w:snapToGrid w:val="0"/>
      <w:jc w:val="left"/>
    </w:pPr>
    <w:rPr>
      <w:sz w:val="18"/>
    </w:rPr>
  </w:style>
  <w:style w:type="paragraph" w:styleId="11">
    <w:name w:val="header"/>
    <w:basedOn w:val="1"/>
    <w:link w:val="26"/>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toc 1"/>
    <w:basedOn w:val="1"/>
    <w:next w:val="1"/>
    <w:autoRedefine/>
    <w:qFormat/>
    <w:uiPriority w:val="99"/>
  </w:style>
  <w:style w:type="paragraph" w:styleId="13">
    <w:name w:val="toc 4"/>
    <w:basedOn w:val="1"/>
    <w:next w:val="1"/>
    <w:autoRedefine/>
    <w:qFormat/>
    <w:uiPriority w:val="99"/>
    <w:pPr>
      <w:ind w:left="1260" w:leftChars="600"/>
    </w:pPr>
  </w:style>
  <w:style w:type="paragraph" w:styleId="14">
    <w:name w:val="toc 6"/>
    <w:basedOn w:val="1"/>
    <w:next w:val="1"/>
    <w:autoRedefine/>
    <w:qFormat/>
    <w:uiPriority w:val="99"/>
    <w:pPr>
      <w:ind w:left="2100" w:leftChars="1000"/>
    </w:pPr>
  </w:style>
  <w:style w:type="paragraph" w:styleId="15">
    <w:name w:val="toc 2"/>
    <w:basedOn w:val="1"/>
    <w:next w:val="1"/>
    <w:autoRedefine/>
    <w:qFormat/>
    <w:uiPriority w:val="99"/>
    <w:pPr>
      <w:ind w:left="420" w:leftChars="200"/>
    </w:pPr>
  </w:style>
  <w:style w:type="paragraph" w:styleId="16">
    <w:name w:val="toc 9"/>
    <w:basedOn w:val="1"/>
    <w:next w:val="1"/>
    <w:autoRedefine/>
    <w:qFormat/>
    <w:uiPriority w:val="99"/>
    <w:pPr>
      <w:ind w:left="3360" w:leftChars="1600"/>
    </w:pPr>
  </w:style>
  <w:style w:type="table" w:styleId="18">
    <w:name w:val="Table Grid"/>
    <w:basedOn w:val="17"/>
    <w:autoRedefine/>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Hyperlink"/>
    <w:autoRedefine/>
    <w:qFormat/>
    <w:locked/>
    <w:uiPriority w:val="99"/>
    <w:rPr>
      <w:rFonts w:cs="Times New Roman"/>
      <w:color w:val="0000FF"/>
      <w:u w:val="single"/>
    </w:rPr>
  </w:style>
  <w:style w:type="character" w:styleId="21">
    <w:name w:val="annotation reference"/>
    <w:autoRedefine/>
    <w:qFormat/>
    <w:uiPriority w:val="99"/>
    <w:rPr>
      <w:rFonts w:cs="Times New Roman"/>
      <w:sz w:val="21"/>
      <w:szCs w:val="21"/>
    </w:rPr>
  </w:style>
  <w:style w:type="character" w:customStyle="1" w:styleId="22">
    <w:name w:val="标题 1 字符"/>
    <w:link w:val="2"/>
    <w:autoRedefine/>
    <w:qFormat/>
    <w:locked/>
    <w:uiPriority w:val="99"/>
    <w:rPr>
      <w:rFonts w:cs="Times New Roman"/>
      <w:b/>
      <w:bCs/>
      <w:kern w:val="44"/>
      <w:sz w:val="44"/>
      <w:szCs w:val="44"/>
    </w:rPr>
  </w:style>
  <w:style w:type="character" w:customStyle="1" w:styleId="23">
    <w:name w:val="标题 2 字符"/>
    <w:link w:val="3"/>
    <w:autoRedefine/>
    <w:semiHidden/>
    <w:qFormat/>
    <w:locked/>
    <w:uiPriority w:val="99"/>
    <w:rPr>
      <w:rFonts w:ascii="Cambria" w:hAnsi="Cambria" w:eastAsia="宋体" w:cs="Times New Roman"/>
      <w:b/>
      <w:bCs/>
      <w:sz w:val="32"/>
      <w:szCs w:val="32"/>
    </w:rPr>
  </w:style>
  <w:style w:type="character" w:customStyle="1" w:styleId="24">
    <w:name w:val="批注文字 字符"/>
    <w:link w:val="5"/>
    <w:autoRedefine/>
    <w:semiHidden/>
    <w:qFormat/>
    <w:locked/>
    <w:uiPriority w:val="99"/>
    <w:rPr>
      <w:rFonts w:cs="Times New Roman"/>
      <w:sz w:val="24"/>
      <w:szCs w:val="24"/>
    </w:rPr>
  </w:style>
  <w:style w:type="character" w:customStyle="1" w:styleId="25">
    <w:name w:val="页脚 字符"/>
    <w:link w:val="10"/>
    <w:autoRedefine/>
    <w:semiHidden/>
    <w:qFormat/>
    <w:locked/>
    <w:uiPriority w:val="99"/>
    <w:rPr>
      <w:rFonts w:cs="Times New Roman"/>
      <w:sz w:val="18"/>
      <w:szCs w:val="18"/>
    </w:rPr>
  </w:style>
  <w:style w:type="character" w:customStyle="1" w:styleId="26">
    <w:name w:val="页眉 字符"/>
    <w:link w:val="11"/>
    <w:autoRedefine/>
    <w:semiHidden/>
    <w:qFormat/>
    <w:locked/>
    <w:uiPriority w:val="99"/>
    <w:rPr>
      <w:rFonts w:cs="Times New Roman"/>
      <w:sz w:val="18"/>
      <w:szCs w:val="18"/>
    </w:rPr>
  </w:style>
  <w:style w:type="character" w:customStyle="1" w:styleId="27">
    <w:name w:val="批注框文本 字符"/>
    <w:link w:val="9"/>
    <w:autoRedefine/>
    <w:semiHidden/>
    <w:qFormat/>
    <w:locked/>
    <w:uiPriority w:val="99"/>
    <w:rPr>
      <w:rFonts w:cs="Times New Roman"/>
      <w:sz w:val="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768</Words>
  <Characters>4379</Characters>
  <Lines>36</Lines>
  <Paragraphs>10</Paragraphs>
  <TotalTime>0</TotalTime>
  <ScaleCrop>false</ScaleCrop>
  <LinksUpToDate>false</LinksUpToDate>
  <CharactersWithSpaces>5137</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2017-12-20T00:31:00Z</dcterms:created>
  <dc:creator>fjzl</dc:creator>
  <cp:lastModifiedBy>莫莫</cp:lastModifiedBy>
  <dcterms:modified xsi:type="dcterms:W3CDTF">2024-04-08T01:24:01Z</dcterms:modified>
  <dc:title>2016年度 肿瘤内科   区   进修生培养计划</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8B17DCA847BE41CDB6F6A36CF907F383_12</vt:lpwstr>
  </property>
</Properties>
</file>