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5" w:lineRule="auto"/>
        <w:rPr>
          <w:rFonts w:ascii="Arial"/>
          <w:sz w:val="21"/>
        </w:rPr>
      </w:pPr>
    </w:p>
    <w:p>
      <w:pPr>
        <w:pStyle w:val="2"/>
        <w:spacing w:before="107" w:line="219" w:lineRule="auto"/>
        <w:ind w:firstLine="1349" w:firstLineChars="400"/>
        <w:jc w:val="both"/>
        <w:outlineLvl w:val="0"/>
        <w:rPr>
          <w:sz w:val="33"/>
          <w:szCs w:val="33"/>
        </w:rPr>
      </w:pPr>
      <w:r>
        <w:rPr>
          <w:rFonts w:hint="eastAsia" w:ascii="Times New Roman" w:hAnsi="Times New Roman" w:cs="Times New Roman"/>
          <w:b/>
          <w:bCs/>
          <w:spacing w:val="3"/>
          <w:sz w:val="33"/>
          <w:szCs w:val="33"/>
          <w:lang w:val="en-US" w:eastAsia="zh-CN"/>
        </w:rPr>
        <w:t>2024</w:t>
      </w:r>
      <w:r>
        <w:rPr>
          <w:rFonts w:ascii="Times New Roman" w:hAnsi="Times New Roman" w:eastAsia="Times New Roman" w:cs="Times New Roman"/>
          <w:b/>
          <w:bCs/>
          <w:spacing w:val="3"/>
          <w:sz w:val="33"/>
          <w:szCs w:val="33"/>
        </w:rPr>
        <w:t xml:space="preserve"> </w:t>
      </w:r>
      <w:r>
        <w:rPr>
          <w:b/>
          <w:bCs/>
          <w:spacing w:val="3"/>
          <w:sz w:val="33"/>
          <w:szCs w:val="33"/>
        </w:rPr>
        <w:t>年度</w:t>
      </w:r>
      <w:r>
        <w:rPr>
          <w:rFonts w:hint="eastAsia"/>
          <w:b/>
          <w:bCs/>
          <w:spacing w:val="3"/>
          <w:sz w:val="33"/>
          <w:szCs w:val="33"/>
          <w:lang w:val="en-US" w:eastAsia="zh-CN"/>
        </w:rPr>
        <w:t>妇科放疗亚专科</w:t>
      </w:r>
      <w:r>
        <w:rPr>
          <w:b/>
          <w:bCs/>
          <w:spacing w:val="3"/>
          <w:sz w:val="33"/>
          <w:szCs w:val="33"/>
        </w:rPr>
        <w:t>进修生培养计划</w:t>
      </w:r>
    </w:p>
    <w:p>
      <w:pPr>
        <w:spacing w:line="246" w:lineRule="auto"/>
        <w:jc w:val="center"/>
        <w:rPr>
          <w:rFonts w:ascii="Arial"/>
          <w:sz w:val="21"/>
        </w:rPr>
      </w:pPr>
    </w:p>
    <w:p>
      <w:pPr>
        <w:spacing w:line="247" w:lineRule="auto"/>
        <w:rPr>
          <w:rFonts w:ascii="Arial"/>
          <w:sz w:val="21"/>
        </w:rPr>
      </w:pPr>
    </w:p>
    <w:p>
      <w:pPr>
        <w:spacing w:line="247" w:lineRule="auto"/>
        <w:rPr>
          <w:rFonts w:ascii="Arial"/>
          <w:sz w:val="21"/>
        </w:rPr>
      </w:pPr>
    </w:p>
    <w:p>
      <w:pPr>
        <w:pStyle w:val="2"/>
        <w:spacing w:before="88" w:line="221" w:lineRule="auto"/>
        <w:ind w:firstLine="3858" w:firstLineChars="1900"/>
      </w:pPr>
      <w:r>
        <w:rPr>
          <w:b/>
          <w:bCs/>
          <w:spacing w:val="-34"/>
        </w:rPr>
        <w:t>目</w:t>
      </w:r>
      <w:r>
        <w:rPr>
          <w:spacing w:val="3"/>
        </w:rPr>
        <w:t xml:space="preserve">      </w:t>
      </w:r>
      <w:r>
        <w:rPr>
          <w:b/>
          <w:bCs/>
          <w:spacing w:val="-34"/>
        </w:rPr>
        <w:t>录</w:t>
      </w:r>
    </w:p>
    <w:p>
      <w:pPr>
        <w:rPr>
          <w:rFonts w:ascii="Arial"/>
          <w:sz w:val="21"/>
        </w:rPr>
      </w:pPr>
    </w:p>
    <w:p>
      <w:pPr>
        <w:spacing w:line="241" w:lineRule="auto"/>
        <w:rPr>
          <w:rFonts w:ascii="Arial"/>
          <w:sz w:val="21"/>
        </w:rPr>
      </w:pPr>
    </w:p>
    <w:p>
      <w:pPr>
        <w:spacing w:line="241" w:lineRule="auto"/>
        <w:rPr>
          <w:rFonts w:ascii="Arial"/>
          <w:sz w:val="21"/>
        </w:rPr>
      </w:pPr>
    </w:p>
    <w:sdt>
      <w:sdtPr>
        <w:rPr>
          <w:rFonts w:ascii="宋体" w:hAnsi="宋体" w:eastAsia="宋体" w:cs="宋体"/>
          <w:sz w:val="27"/>
          <w:szCs w:val="27"/>
        </w:rPr>
        <w:id w:val="1"/>
        <w:docPartObj>
          <w:docPartGallery w:val="Table of Contents"/>
          <w:docPartUnique/>
        </w:docPartObj>
      </w:sdtPr>
      <w:sdtEndPr>
        <w:rPr>
          <w:rFonts w:ascii="宋体" w:hAnsi="宋体" w:eastAsia="宋体" w:cs="宋体"/>
          <w:spacing w:val="-3"/>
          <w:sz w:val="27"/>
          <w:szCs w:val="27"/>
        </w:rPr>
      </w:sdtEndPr>
      <w:sdtContent>
        <w:p>
          <w:pPr>
            <w:pStyle w:val="2"/>
            <w:tabs>
              <w:tab w:val="right" w:leader="dot" w:pos="8167"/>
            </w:tabs>
            <w:spacing w:before="88" w:line="219" w:lineRule="auto"/>
            <w:ind w:left="277"/>
            <w:rPr>
              <w:rFonts w:ascii="Times New Roman" w:hAnsi="Times New Roman" w:eastAsia="Times New Roman" w:cs="Times New Roman"/>
            </w:rPr>
          </w:pPr>
          <w:r>
            <w:rPr>
              <w:spacing w:val="-25"/>
            </w:rPr>
            <w:t>科室特色：</w:t>
          </w:r>
          <w:r>
            <w:rPr>
              <w:spacing w:val="-101"/>
            </w:rPr>
            <w:t xml:space="preserve"> </w:t>
          </w:r>
          <w:r>
            <w:tab/>
          </w:r>
          <w:r>
            <w:rPr>
              <w:spacing w:val="-84"/>
            </w:rPr>
            <w:t xml:space="preserve"> </w:t>
          </w:r>
          <w:r>
            <w:fldChar w:fldCharType="begin"/>
          </w:r>
          <w:r>
            <w:instrText xml:space="preserve"> HYPERLINK \l "bookmark1" </w:instrText>
          </w:r>
          <w:r>
            <w:fldChar w:fldCharType="separate"/>
          </w:r>
          <w:r>
            <w:rPr>
              <w:rFonts w:ascii="Times New Roman" w:hAnsi="Times New Roman" w:eastAsia="Times New Roman" w:cs="Times New Roman"/>
            </w:rPr>
            <w:t>2</w:t>
          </w:r>
          <w:r>
            <w:rPr>
              <w:rFonts w:ascii="Times New Roman" w:hAnsi="Times New Roman" w:eastAsia="Times New Roman" w:cs="Times New Roman"/>
            </w:rPr>
            <w:fldChar w:fldCharType="end"/>
          </w:r>
        </w:p>
        <w:p>
          <w:pPr>
            <w:pStyle w:val="2"/>
            <w:tabs>
              <w:tab w:val="right" w:leader="dot" w:pos="8230"/>
            </w:tabs>
            <w:spacing w:before="289" w:line="219" w:lineRule="auto"/>
            <w:ind w:left="277"/>
            <w:rPr>
              <w:rFonts w:hint="eastAsia" w:ascii="Times New Roman" w:hAnsi="Times New Roman" w:eastAsia="宋体" w:cs="Times New Roman"/>
              <w:lang w:val="en-US" w:eastAsia="zh-CN"/>
            </w:rPr>
          </w:pPr>
          <w:r>
            <w:rPr>
              <w:spacing w:val="-24"/>
            </w:rPr>
            <w:t>科室带教老师简介：</w:t>
          </w:r>
          <w:r>
            <w:rPr>
              <w:spacing w:val="-80"/>
            </w:rPr>
            <w:t xml:space="preserve"> </w:t>
          </w:r>
          <w:r>
            <w:tab/>
          </w:r>
          <w:r>
            <w:rPr>
              <w:rFonts w:hint="eastAsia"/>
              <w:lang w:val="en-US" w:eastAsia="zh-CN"/>
            </w:rPr>
            <w:t>3</w:t>
          </w:r>
        </w:p>
        <w:p>
          <w:pPr>
            <w:pStyle w:val="2"/>
            <w:tabs>
              <w:tab w:val="right" w:leader="dot" w:pos="8237"/>
            </w:tabs>
            <w:spacing w:before="251" w:line="219" w:lineRule="auto"/>
            <w:ind w:left="277"/>
            <w:rPr>
              <w:rFonts w:hint="eastAsia" w:ascii="Times New Roman" w:hAnsi="Times New Roman" w:eastAsia="宋体" w:cs="Times New Roman"/>
              <w:lang w:val="en-US" w:eastAsia="zh-CN"/>
            </w:rPr>
          </w:pPr>
          <w:r>
            <w:rPr>
              <w:spacing w:val="-22"/>
            </w:rPr>
            <w:t>进修生招收要求：</w:t>
          </w:r>
          <w:r>
            <w:rPr>
              <w:spacing w:val="-100"/>
            </w:rPr>
            <w:t xml:space="preserve"> </w:t>
          </w:r>
          <w:r>
            <w:tab/>
          </w:r>
          <w:r>
            <w:rPr>
              <w:rFonts w:hint="eastAsia"/>
              <w:lang w:val="en-US" w:eastAsia="zh-CN"/>
            </w:rPr>
            <w:t>4</w:t>
          </w:r>
        </w:p>
        <w:p>
          <w:pPr>
            <w:pStyle w:val="2"/>
            <w:tabs>
              <w:tab w:val="right" w:leader="dot" w:pos="8247"/>
            </w:tabs>
            <w:spacing w:before="300" w:line="219" w:lineRule="auto"/>
            <w:ind w:left="277"/>
            <w:rPr>
              <w:rFonts w:hint="eastAsia" w:ascii="Times New Roman" w:hAnsi="Times New Roman" w:eastAsia="宋体" w:cs="Times New Roman"/>
              <w:lang w:val="en-US" w:eastAsia="zh-CN"/>
            </w:rPr>
          </w:pPr>
          <w:r>
            <w:rPr>
              <w:spacing w:val="-18"/>
            </w:rPr>
            <w:t>进修生培养方案：</w:t>
          </w:r>
          <w:r>
            <w:rPr>
              <w:spacing w:val="-102"/>
            </w:rPr>
            <w:t xml:space="preserve"> </w:t>
          </w:r>
          <w:r>
            <w:tab/>
          </w:r>
          <w:r>
            <w:rPr>
              <w:rFonts w:hint="eastAsia"/>
              <w:lang w:val="en-US" w:eastAsia="zh-CN"/>
            </w:rPr>
            <w:t>4</w:t>
          </w:r>
        </w:p>
        <w:p>
          <w:pPr>
            <w:pStyle w:val="2"/>
            <w:tabs>
              <w:tab w:val="right" w:leader="dot" w:pos="8235"/>
            </w:tabs>
            <w:spacing w:before="260" w:line="219" w:lineRule="auto"/>
            <w:ind w:left="277"/>
            <w:rPr>
              <w:rFonts w:hint="eastAsia" w:ascii="Times New Roman" w:hAnsi="Times New Roman" w:eastAsia="宋体" w:cs="Times New Roman"/>
              <w:lang w:val="en-US" w:eastAsia="zh-CN"/>
            </w:rPr>
          </w:pPr>
          <w:r>
            <w:rPr>
              <w:spacing w:val="-17"/>
            </w:rPr>
            <w:t>进修生培养计划：</w:t>
          </w:r>
          <w:r>
            <w:rPr>
              <w:spacing w:val="-100"/>
            </w:rPr>
            <w:t xml:space="preserve"> </w:t>
          </w:r>
          <w:r>
            <w:tab/>
          </w:r>
          <w:r>
            <w:rPr>
              <w:rFonts w:hint="eastAsia"/>
              <w:lang w:val="en-US" w:eastAsia="zh-CN"/>
            </w:rPr>
            <w:t>5</w:t>
          </w:r>
        </w:p>
        <w:p>
          <w:pPr>
            <w:pStyle w:val="2"/>
            <w:tabs>
              <w:tab w:val="right" w:leader="dot" w:pos="8235"/>
            </w:tabs>
            <w:spacing w:before="317" w:line="219" w:lineRule="auto"/>
            <w:ind w:left="628"/>
            <w:rPr>
              <w:rFonts w:hint="eastAsia" w:eastAsia="宋体"/>
              <w:spacing w:val="-3"/>
              <w:lang w:val="en-US" w:eastAsia="zh-CN"/>
            </w:rPr>
          </w:pPr>
          <w:r>
            <w:rPr>
              <w:spacing w:val="-3"/>
            </w:rPr>
            <w:t>一、</w:t>
          </w:r>
          <w:r>
            <w:rPr>
              <w:spacing w:val="64"/>
            </w:rPr>
            <w:t xml:space="preserve"> </w:t>
          </w:r>
          <w:r>
            <w:rPr>
              <w:spacing w:val="-3"/>
            </w:rPr>
            <w:t>入科教育</w:t>
          </w:r>
          <w:r>
            <w:rPr>
              <w:spacing w:val="-3"/>
            </w:rPr>
            <w:tab/>
          </w:r>
          <w:r>
            <w:rPr>
              <w:spacing w:val="-3"/>
            </w:rPr>
            <w:t xml:space="preserve"> </w:t>
          </w:r>
          <w:r>
            <w:rPr>
              <w:rFonts w:hint="eastAsia"/>
              <w:spacing w:val="-3"/>
              <w:lang w:val="en-US" w:eastAsia="zh-CN"/>
            </w:rPr>
            <w:t>5</w:t>
          </w:r>
        </w:p>
        <w:p>
          <w:pPr>
            <w:pStyle w:val="2"/>
            <w:tabs>
              <w:tab w:val="right" w:leader="dot" w:pos="8235"/>
            </w:tabs>
            <w:spacing w:before="317" w:line="219" w:lineRule="auto"/>
            <w:ind w:left="628"/>
            <w:rPr>
              <w:rFonts w:hint="eastAsia" w:eastAsia="宋体"/>
              <w:spacing w:val="-3"/>
              <w:lang w:eastAsia="zh-CN"/>
            </w:rPr>
          </w:pPr>
          <w:r>
            <w:rPr>
              <w:spacing w:val="-3"/>
            </w:rPr>
            <w:t xml:space="preserve">二、 考勤管理 </w:t>
          </w:r>
          <w:r>
            <w:rPr>
              <w:spacing w:val="-3"/>
            </w:rPr>
            <w:tab/>
          </w:r>
          <w:r>
            <w:rPr>
              <w:rFonts w:hint="eastAsia"/>
              <w:spacing w:val="-3"/>
              <w:lang w:val="en-US" w:eastAsia="zh-CN"/>
            </w:rPr>
            <w:t>5</w:t>
          </w:r>
        </w:p>
        <w:p>
          <w:pPr>
            <w:pStyle w:val="2"/>
            <w:tabs>
              <w:tab w:val="right" w:leader="dot" w:pos="8235"/>
            </w:tabs>
            <w:spacing w:before="317" w:line="219" w:lineRule="auto"/>
            <w:ind w:left="628"/>
            <w:rPr>
              <w:rFonts w:hint="eastAsia" w:eastAsia="宋体"/>
              <w:spacing w:val="-3"/>
              <w:lang w:eastAsia="zh-CN"/>
            </w:rPr>
          </w:pPr>
          <w:r>
            <w:rPr>
              <w:spacing w:val="-3"/>
            </w:rPr>
            <w:t>三、 业务学习</w:t>
          </w:r>
          <w:r>
            <w:rPr>
              <w:spacing w:val="-3"/>
            </w:rPr>
            <w:tab/>
          </w:r>
          <w:r>
            <w:rPr>
              <w:rFonts w:hint="eastAsia"/>
              <w:spacing w:val="-3"/>
              <w:lang w:val="en-US" w:eastAsia="zh-CN"/>
            </w:rPr>
            <w:t>7</w:t>
          </w:r>
        </w:p>
        <w:p>
          <w:pPr>
            <w:pStyle w:val="2"/>
            <w:tabs>
              <w:tab w:val="right" w:leader="dot" w:pos="8235"/>
            </w:tabs>
            <w:spacing w:before="317" w:line="219" w:lineRule="auto"/>
            <w:ind w:left="628"/>
            <w:rPr>
              <w:rFonts w:hint="eastAsia" w:eastAsia="宋体"/>
              <w:spacing w:val="-3"/>
              <w:lang w:eastAsia="zh-CN"/>
            </w:rPr>
          </w:pPr>
          <w:r>
            <w:rPr>
              <w:spacing w:val="-3"/>
            </w:rPr>
            <w:t xml:space="preserve">四、 操作示教 </w:t>
          </w:r>
          <w:r>
            <w:rPr>
              <w:spacing w:val="-3"/>
            </w:rPr>
            <w:tab/>
          </w:r>
          <w:r>
            <w:rPr>
              <w:rFonts w:hint="eastAsia"/>
              <w:spacing w:val="-3"/>
              <w:lang w:val="en-US" w:eastAsia="zh-CN"/>
            </w:rPr>
            <w:t>7</w:t>
          </w:r>
        </w:p>
        <w:p>
          <w:pPr>
            <w:pStyle w:val="2"/>
            <w:tabs>
              <w:tab w:val="right" w:leader="dot" w:pos="8235"/>
            </w:tabs>
            <w:spacing w:before="317" w:line="219" w:lineRule="auto"/>
            <w:ind w:left="628"/>
            <w:rPr>
              <w:rFonts w:hint="eastAsia" w:eastAsia="宋体"/>
              <w:spacing w:val="-3"/>
              <w:lang w:eastAsia="zh-CN"/>
            </w:rPr>
          </w:pPr>
          <w:r>
            <w:rPr>
              <w:spacing w:val="-3"/>
            </w:rPr>
            <w:t>五、 继续教育</w:t>
          </w:r>
          <w:r>
            <w:rPr>
              <w:spacing w:val="-3"/>
            </w:rPr>
            <w:tab/>
          </w:r>
          <w:r>
            <w:rPr>
              <w:rFonts w:hint="eastAsia"/>
              <w:spacing w:val="-3"/>
              <w:lang w:val="en-US" w:eastAsia="zh-CN"/>
            </w:rPr>
            <w:t>7</w:t>
          </w:r>
        </w:p>
        <w:p>
          <w:pPr>
            <w:pStyle w:val="2"/>
            <w:tabs>
              <w:tab w:val="right" w:leader="dot" w:pos="8235"/>
            </w:tabs>
            <w:spacing w:before="317" w:line="219" w:lineRule="auto"/>
            <w:ind w:left="628"/>
            <w:rPr>
              <w:spacing w:val="-3"/>
            </w:rPr>
          </w:pPr>
          <w:r>
            <w:rPr>
              <w:spacing w:val="-3"/>
            </w:rPr>
            <w:t xml:space="preserve">六、 考核考评 </w:t>
          </w:r>
          <w:r>
            <w:rPr>
              <w:spacing w:val="-3"/>
            </w:rPr>
            <w:tab/>
          </w:r>
          <w:r>
            <w:rPr>
              <w:rFonts w:hint="eastAsia"/>
              <w:spacing w:val="-3"/>
              <w:lang w:val="en-US" w:eastAsia="zh-CN"/>
            </w:rPr>
            <w:t>7</w:t>
          </w:r>
        </w:p>
      </w:sdtContent>
    </w:sdt>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0"/>
          <w:szCs w:val="20"/>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hint="eastAsia" w:eastAsia="宋体"/>
          <w:b/>
          <w:bCs/>
          <w:spacing w:val="-23"/>
          <w:sz w:val="18"/>
          <w:szCs w:val="18"/>
          <w:lang w:val="en-US" w:eastAsia="zh-CN"/>
        </w:rPr>
        <w:sectPr>
          <w:footerReference r:id="rId5" w:type="default"/>
          <w:pgSz w:w="12060" w:h="16950"/>
          <w:pgMar w:top="1378" w:right="1378" w:bottom="1378" w:left="1378" w:header="0" w:footer="0" w:gutter="0"/>
          <w:pgNumType w:fmt="decimal" w:start="1"/>
          <w:cols w:equalWidth="0" w:num="1">
            <w:col w:w="9977"/>
          </w:cols>
        </w:sectPr>
      </w:pPr>
      <w:bookmarkStart w:id="0" w:name="bookmark1"/>
      <w:bookmarkEnd w:id="0"/>
    </w:p>
    <w:p>
      <w:pPr>
        <w:pStyle w:val="2"/>
        <w:spacing w:before="59" w:line="219" w:lineRule="auto"/>
        <w:rPr>
          <w:b/>
          <w:bCs/>
          <w:spacing w:val="-23"/>
          <w:sz w:val="30"/>
          <w:szCs w:val="30"/>
        </w:rPr>
      </w:pPr>
    </w:p>
    <w:p>
      <w:pPr>
        <w:pStyle w:val="2"/>
        <w:spacing w:before="59" w:line="360" w:lineRule="auto"/>
        <w:jc w:val="both"/>
        <w:rPr>
          <w:sz w:val="30"/>
          <w:szCs w:val="30"/>
        </w:rPr>
      </w:pPr>
      <w:r>
        <w:rPr>
          <w:b/>
          <w:bCs/>
          <w:spacing w:val="-23"/>
          <w:sz w:val="30"/>
          <w:szCs w:val="30"/>
        </w:rPr>
        <w:t>科室特色：</w:t>
      </w:r>
    </w:p>
    <w:p>
      <w:pPr>
        <w:spacing w:line="360" w:lineRule="auto"/>
        <w:jc w:val="both"/>
        <w:rPr>
          <w:rFonts w:hint="eastAsia" w:eastAsia="宋体"/>
          <w:sz w:val="28"/>
          <w:szCs w:val="28"/>
          <w:lang w:val="en-US" w:eastAsia="zh-CN"/>
        </w:rPr>
      </w:pPr>
      <w:r>
        <w:rPr>
          <w:rFonts w:hint="eastAsia" w:eastAsia="宋体"/>
          <w:sz w:val="21"/>
          <w:lang w:val="en-US" w:eastAsia="zh-CN"/>
        </w:rPr>
        <w:t xml:space="preserve">          </w:t>
      </w:r>
      <w:r>
        <w:rPr>
          <w:rFonts w:hint="eastAsia" w:eastAsia="宋体"/>
          <w:sz w:val="28"/>
          <w:szCs w:val="28"/>
          <w:lang w:val="en-US" w:eastAsia="zh-CN"/>
        </w:rPr>
        <w:t>妇科作为福建省临床重点专科、福建省妇科恶性肿瘤精准治疗临床医学研究中心，妇科放疗亚专科下辖2个病区（3区、11区），开设床位94张，于省内率先采用VMAT、TOMO等先进的放疗技术及CT引导三维后装技术进行妇科肿瘤根治性放疗、辅助放疗及姑息性放疗，提高肿瘤靶区剂量、降低正常器官剂量以减少不良反应风险，治疗技术达国内领先；同时在妇科恶性肿瘤患者中开展放化疗联合免疫治疗、放疗联合靶向治疗等综合治疗，提高治疗疗效，有效延长患者生存期。 经多年学科建设对各类妇科肿瘤尤其是疑难病例的诊治积累了丰富经验，年收治宫颈癌、卵巢癌、子宫内膜癌及外阴癌等妇科恶性肿瘤患者病例数均居省内各大医院首位。科室是（第一批）国家卵巢癌与宫颈癌规范诊疗质量控制试点中心、中国抗癌协会妇科肿瘤科普教育基地。 </w:t>
      </w:r>
    </w:p>
    <w:p>
      <w:pPr>
        <w:spacing w:line="360" w:lineRule="auto"/>
        <w:jc w:val="both"/>
        <w:rPr>
          <w:rFonts w:hint="eastAsia" w:eastAsia="宋体"/>
          <w:sz w:val="28"/>
          <w:szCs w:val="28"/>
          <w:lang w:val="en-US" w:eastAsia="zh-CN"/>
        </w:rPr>
      </w:pPr>
      <w:r>
        <w:rPr>
          <w:rFonts w:hint="eastAsia" w:eastAsia="宋体"/>
          <w:sz w:val="28"/>
          <w:szCs w:val="28"/>
          <w:lang w:val="en-US" w:eastAsia="zh-CN"/>
        </w:rPr>
        <w:t>　 　妇科放疗亚专科拥有一支业务水平高、经验丰富专业医护队伍，现有医师24名，其中主任医师3名、副主任医师8名，博士、硕士17名，留学归国人员3名。人才梯队合理、技术力量雄厚，作为福建医科大学与福州大学博士、硕士培养点，现有博士生导师1人、硕士生导师3人。科室是中国核医学会近距离治疗与智慧放疗分会理事单位、中国抗癌协会宫颈癌专委会、中国抗癌协会妇科肿瘤整合康复专委会、中国抗癌协会近距离专委会常委单位、中国医师学会放射肿瘤治疗分会近距离学组委员单位、福建省抗癌协会近距离放射治疗专委会主委、福建省抗癌协会妇科肿瘤分会青年委员会副主任委员单位、福建省抗癌协会放射治疗专委会、福建省医学会妇科肿瘤分会常委、福建省医学会遗传学分会常委单位。</w:t>
      </w:r>
    </w:p>
    <w:p>
      <w:pPr>
        <w:spacing w:line="360" w:lineRule="auto"/>
        <w:jc w:val="both"/>
        <w:rPr>
          <w:rFonts w:hint="eastAsia" w:eastAsia="宋体"/>
          <w:sz w:val="28"/>
          <w:szCs w:val="28"/>
          <w:lang w:val="en-US" w:eastAsia="zh-CN"/>
        </w:rPr>
      </w:pPr>
      <w:r>
        <w:rPr>
          <w:rFonts w:hint="eastAsia" w:eastAsia="宋体"/>
          <w:sz w:val="28"/>
          <w:szCs w:val="28"/>
          <w:lang w:val="en-US" w:eastAsia="zh-CN"/>
        </w:rPr>
        <w:t>　　科室注重临床与科研转化融合，努力将最新科技成果应用于临床让患者获益，现每年均开展数十项国内、国际先进的前沿抗肿瘤药物临床试验，涉及妇科各个瘤种，让晚期肿瘤患者治疗水平与国际前沿接轨，相关研究成果多次在ASCO、SGO等国际知名会议上报道与展示，并发表在JCO等国际顶级刊物。教学工作除参与福建医科大学理论授课任务外，作为福建医科大学、福建中医药大学及福州大学等多所高校的研究生培养单位，近年承担并完成了多项国家与省厅级科研课题，定期主办国家级继续医学教育项目，每年均在国外SCI收录期刊发表数十篇高质量论文，并获多项科技进步奖。 </w:t>
      </w:r>
    </w:p>
    <w:p>
      <w:pPr>
        <w:spacing w:line="287" w:lineRule="auto"/>
        <w:jc w:val="both"/>
        <w:rPr>
          <w:rFonts w:ascii="Arial"/>
          <w:sz w:val="21"/>
        </w:rPr>
      </w:pPr>
      <w:r>
        <w:rPr>
          <w:rFonts w:hint="eastAsia" w:eastAsia="宋体"/>
          <w:sz w:val="24"/>
          <w:szCs w:val="24"/>
          <w:lang w:val="en-US" w:eastAsia="zh-CN"/>
        </w:rPr>
        <w:t xml:space="preserve">　 </w:t>
      </w:r>
    </w:p>
    <w:p>
      <w:pPr>
        <w:spacing w:line="287" w:lineRule="auto"/>
        <w:rPr>
          <w:rFonts w:ascii="Arial"/>
          <w:sz w:val="21"/>
        </w:rPr>
      </w:pPr>
    </w:p>
    <w:p>
      <w:pPr>
        <w:spacing w:before="97" w:line="222" w:lineRule="auto"/>
        <w:rPr>
          <w:rFonts w:ascii="黑体" w:hAnsi="黑体" w:eastAsia="黑体" w:cs="黑体"/>
          <w:sz w:val="30"/>
          <w:szCs w:val="30"/>
        </w:rPr>
      </w:pPr>
      <w:bookmarkStart w:id="1" w:name="bookmark2"/>
      <w:bookmarkEnd w:id="1"/>
      <w:r>
        <w:rPr>
          <w:rFonts w:ascii="黑体" w:hAnsi="黑体" w:eastAsia="黑体" w:cs="黑体"/>
          <w:b/>
          <w:bCs/>
          <w:spacing w:val="-10"/>
          <w:sz w:val="30"/>
          <w:szCs w:val="30"/>
        </w:rPr>
        <w:t>科室带教老师简介：</w:t>
      </w:r>
    </w:p>
    <w:p>
      <w:pPr>
        <w:spacing w:line="118" w:lineRule="exact"/>
      </w:pPr>
    </w:p>
    <w:tbl>
      <w:tblPr>
        <w:tblStyle w:val="9"/>
        <w:tblW w:w="9231"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997"/>
        <w:gridCol w:w="1637"/>
        <w:gridCol w:w="5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905" w:type="dxa"/>
            <w:vMerge w:val="restart"/>
            <w:tcBorders>
              <w:bottom w:val="nil"/>
            </w:tcBorders>
            <w:vAlign w:val="top"/>
          </w:tcPr>
          <w:p>
            <w:pPr>
              <w:pStyle w:val="10"/>
              <w:spacing w:before="194" w:line="240" w:lineRule="auto"/>
              <w:jc w:val="center"/>
              <w:rPr>
                <w:b/>
                <w:bCs/>
                <w:sz w:val="24"/>
                <w:szCs w:val="24"/>
              </w:rPr>
            </w:pPr>
            <w:r>
              <w:rPr>
                <w:b/>
                <w:bCs/>
                <w:spacing w:val="-2"/>
                <w:sz w:val="24"/>
                <w:szCs w:val="24"/>
              </w:rPr>
              <w:t>序号</w:t>
            </w:r>
          </w:p>
        </w:tc>
        <w:tc>
          <w:tcPr>
            <w:tcW w:w="997" w:type="dxa"/>
            <w:vMerge w:val="restart"/>
            <w:tcBorders>
              <w:bottom w:val="nil"/>
            </w:tcBorders>
            <w:vAlign w:val="top"/>
          </w:tcPr>
          <w:p>
            <w:pPr>
              <w:pStyle w:val="10"/>
              <w:spacing w:before="190" w:line="240" w:lineRule="auto"/>
              <w:jc w:val="center"/>
              <w:rPr>
                <w:b/>
                <w:bCs/>
                <w:sz w:val="24"/>
                <w:szCs w:val="24"/>
              </w:rPr>
            </w:pPr>
            <w:r>
              <w:rPr>
                <w:b/>
                <w:bCs/>
                <w:spacing w:val="7"/>
                <w:sz w:val="24"/>
                <w:szCs w:val="24"/>
              </w:rPr>
              <w:t>姓</w:t>
            </w:r>
            <w:r>
              <w:rPr>
                <w:rFonts w:hint="eastAsia"/>
                <w:b/>
                <w:bCs/>
                <w:spacing w:val="7"/>
                <w:sz w:val="24"/>
                <w:szCs w:val="24"/>
                <w:lang w:val="en-US" w:eastAsia="zh-CN"/>
              </w:rPr>
              <w:t xml:space="preserve">   </w:t>
            </w:r>
            <w:r>
              <w:rPr>
                <w:b/>
                <w:bCs/>
                <w:spacing w:val="7"/>
                <w:sz w:val="24"/>
                <w:szCs w:val="24"/>
              </w:rPr>
              <w:t>名</w:t>
            </w:r>
          </w:p>
        </w:tc>
        <w:tc>
          <w:tcPr>
            <w:tcW w:w="1637" w:type="dxa"/>
            <w:vMerge w:val="restart"/>
            <w:tcBorders>
              <w:bottom w:val="nil"/>
            </w:tcBorders>
            <w:vAlign w:val="top"/>
          </w:tcPr>
          <w:p>
            <w:pPr>
              <w:pStyle w:val="10"/>
              <w:spacing w:before="195" w:line="240" w:lineRule="auto"/>
              <w:jc w:val="center"/>
              <w:rPr>
                <w:b/>
                <w:bCs/>
                <w:sz w:val="24"/>
                <w:szCs w:val="24"/>
              </w:rPr>
            </w:pPr>
            <w:r>
              <w:rPr>
                <w:b/>
                <w:bCs/>
                <w:spacing w:val="-3"/>
                <w:sz w:val="24"/>
                <w:szCs w:val="24"/>
              </w:rPr>
              <w:t>职</w:t>
            </w:r>
            <w:r>
              <w:rPr>
                <w:rFonts w:hint="eastAsia"/>
                <w:b/>
                <w:bCs/>
                <w:spacing w:val="-3"/>
                <w:sz w:val="24"/>
                <w:szCs w:val="24"/>
                <w:lang w:val="en-US" w:eastAsia="zh-CN"/>
              </w:rPr>
              <w:t xml:space="preserve">   </w:t>
            </w:r>
            <w:r>
              <w:rPr>
                <w:b/>
                <w:bCs/>
                <w:spacing w:val="-3"/>
                <w:sz w:val="24"/>
                <w:szCs w:val="24"/>
              </w:rPr>
              <w:t>称</w:t>
            </w:r>
          </w:p>
        </w:tc>
        <w:tc>
          <w:tcPr>
            <w:tcW w:w="5692" w:type="dxa"/>
            <w:vMerge w:val="restart"/>
            <w:tcBorders>
              <w:bottom w:val="nil"/>
            </w:tcBorders>
            <w:vAlign w:val="top"/>
          </w:tcPr>
          <w:p>
            <w:pPr>
              <w:pStyle w:val="10"/>
              <w:spacing w:before="191" w:line="240" w:lineRule="auto"/>
              <w:jc w:val="center"/>
              <w:rPr>
                <w:b/>
                <w:bCs/>
                <w:sz w:val="24"/>
                <w:szCs w:val="24"/>
              </w:rPr>
            </w:pPr>
            <w:r>
              <w:rPr>
                <w:b/>
                <w:bCs/>
                <w:spacing w:val="-5"/>
                <w:sz w:val="24"/>
                <w:szCs w:val="24"/>
              </w:rPr>
              <w:t>专</w:t>
            </w:r>
            <w:r>
              <w:rPr>
                <w:rFonts w:hint="eastAsia"/>
                <w:b/>
                <w:bCs/>
                <w:spacing w:val="-5"/>
                <w:sz w:val="24"/>
                <w:szCs w:val="24"/>
                <w:lang w:val="en-US" w:eastAsia="zh-CN"/>
              </w:rPr>
              <w:t xml:space="preserve">       </w:t>
            </w:r>
            <w:r>
              <w:rPr>
                <w:b/>
                <w:bCs/>
                <w:spacing w:val="-5"/>
                <w:sz w:val="24"/>
                <w:szCs w:val="24"/>
              </w:rPr>
              <w:t>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5" w:type="dxa"/>
            <w:vMerge w:val="continue"/>
            <w:tcBorders>
              <w:top w:val="nil"/>
            </w:tcBorders>
            <w:vAlign w:val="top"/>
          </w:tcPr>
          <w:p>
            <w:pPr>
              <w:spacing w:line="240" w:lineRule="auto"/>
              <w:jc w:val="center"/>
              <w:rPr>
                <w:rFonts w:ascii="Arial"/>
                <w:sz w:val="24"/>
                <w:szCs w:val="24"/>
              </w:rPr>
            </w:pPr>
          </w:p>
        </w:tc>
        <w:tc>
          <w:tcPr>
            <w:tcW w:w="997" w:type="dxa"/>
            <w:vMerge w:val="continue"/>
            <w:tcBorders>
              <w:top w:val="nil"/>
            </w:tcBorders>
            <w:vAlign w:val="top"/>
          </w:tcPr>
          <w:p>
            <w:pPr>
              <w:spacing w:line="240" w:lineRule="auto"/>
              <w:jc w:val="center"/>
              <w:rPr>
                <w:rFonts w:ascii="Arial"/>
                <w:sz w:val="24"/>
                <w:szCs w:val="24"/>
              </w:rPr>
            </w:pPr>
          </w:p>
        </w:tc>
        <w:tc>
          <w:tcPr>
            <w:tcW w:w="1637" w:type="dxa"/>
            <w:vMerge w:val="continue"/>
            <w:tcBorders>
              <w:top w:val="nil"/>
            </w:tcBorders>
            <w:vAlign w:val="top"/>
          </w:tcPr>
          <w:p>
            <w:pPr>
              <w:spacing w:line="240" w:lineRule="auto"/>
              <w:jc w:val="center"/>
              <w:rPr>
                <w:rFonts w:ascii="Arial"/>
                <w:sz w:val="24"/>
                <w:szCs w:val="24"/>
              </w:rPr>
            </w:pPr>
          </w:p>
        </w:tc>
        <w:tc>
          <w:tcPr>
            <w:tcW w:w="5692" w:type="dxa"/>
            <w:vMerge w:val="continue"/>
            <w:tcBorders>
              <w:top w:val="nil"/>
            </w:tcBorders>
            <w:vAlign w:val="top"/>
          </w:tcPr>
          <w:p>
            <w:pPr>
              <w:spacing w:line="240" w:lineRule="auto"/>
              <w:jc w:val="center"/>
              <w:rPr>
                <w:rFonts w:ascii="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905" w:type="dxa"/>
            <w:vAlign w:val="center"/>
          </w:tcPr>
          <w:p>
            <w:pPr>
              <w:pStyle w:val="10"/>
              <w:spacing w:before="65" w:line="240" w:lineRule="auto"/>
              <w:jc w:val="center"/>
              <w:rPr>
                <w:rFonts w:hint="eastAsia"/>
                <w:sz w:val="24"/>
                <w:szCs w:val="24"/>
                <w:lang w:val="en-US" w:eastAsia="zh-CN"/>
              </w:rPr>
            </w:pPr>
            <w:r>
              <w:rPr>
                <w:rFonts w:hint="eastAsia"/>
                <w:sz w:val="24"/>
                <w:szCs w:val="24"/>
                <w:lang w:val="en-US" w:eastAsia="zh-CN"/>
              </w:rPr>
              <w:t>1</w:t>
            </w:r>
          </w:p>
        </w:tc>
        <w:tc>
          <w:tcPr>
            <w:tcW w:w="997" w:type="dxa"/>
            <w:vAlign w:val="center"/>
          </w:tcPr>
          <w:p>
            <w:pPr>
              <w:pStyle w:val="10"/>
              <w:spacing w:before="65" w:line="240" w:lineRule="auto"/>
              <w:jc w:val="center"/>
              <w:rPr>
                <w:rFonts w:hint="default" w:eastAsia="宋体"/>
                <w:sz w:val="24"/>
                <w:szCs w:val="24"/>
                <w:lang w:val="en-US" w:eastAsia="zh-CN"/>
              </w:rPr>
            </w:pPr>
            <w:r>
              <w:rPr>
                <w:rFonts w:hint="eastAsia"/>
                <w:sz w:val="24"/>
                <w:szCs w:val="24"/>
                <w:lang w:val="en-US" w:eastAsia="zh-CN"/>
              </w:rPr>
              <w:t>徐  沁</w:t>
            </w:r>
          </w:p>
        </w:tc>
        <w:tc>
          <w:tcPr>
            <w:tcW w:w="1637" w:type="dxa"/>
            <w:vAlign w:val="center"/>
          </w:tcPr>
          <w:p>
            <w:pPr>
              <w:pStyle w:val="10"/>
              <w:spacing w:before="65" w:line="240" w:lineRule="auto"/>
              <w:jc w:val="center"/>
              <w:rPr>
                <w:sz w:val="24"/>
                <w:szCs w:val="24"/>
              </w:rPr>
            </w:pPr>
            <w:r>
              <w:rPr>
                <w:spacing w:val="2"/>
                <w:sz w:val="24"/>
                <w:szCs w:val="24"/>
              </w:rPr>
              <w:t>主任医师</w:t>
            </w:r>
          </w:p>
        </w:tc>
        <w:tc>
          <w:tcPr>
            <w:tcW w:w="5692" w:type="dxa"/>
            <w:vAlign w:val="top"/>
          </w:tcPr>
          <w:p>
            <w:pPr>
              <w:pStyle w:val="10"/>
              <w:spacing w:before="70" w:line="240" w:lineRule="auto"/>
              <w:ind w:left="17"/>
              <w:jc w:val="left"/>
              <w:rPr>
                <w:sz w:val="24"/>
                <w:szCs w:val="24"/>
              </w:rPr>
            </w:pPr>
            <w:r>
              <w:rPr>
                <w:rFonts w:hint="eastAsia"/>
                <w:sz w:val="24"/>
                <w:szCs w:val="24"/>
              </w:rPr>
              <w:t>从事宫颈癌、卵巢癌、子宫内膜癌、阴道癌等妇科恶性肿瘤的影像引导的三维近距离后装放射治疗、三维适形调强放疗（IMRT）、螺旋调强放疗（TOMO）等精确放射治疗、化学治疗、免疫治疗、靶向治疗等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05" w:type="dxa"/>
            <w:vAlign w:val="center"/>
          </w:tcPr>
          <w:p>
            <w:pPr>
              <w:pStyle w:val="10"/>
              <w:spacing w:before="65" w:line="240" w:lineRule="auto"/>
              <w:jc w:val="center"/>
              <w:rPr>
                <w:sz w:val="24"/>
                <w:szCs w:val="24"/>
              </w:rPr>
            </w:pPr>
            <w:r>
              <w:rPr>
                <w:sz w:val="24"/>
                <w:szCs w:val="24"/>
              </w:rPr>
              <w:t>2</w:t>
            </w:r>
          </w:p>
        </w:tc>
        <w:tc>
          <w:tcPr>
            <w:tcW w:w="997" w:type="dxa"/>
            <w:vAlign w:val="center"/>
          </w:tcPr>
          <w:p>
            <w:pPr>
              <w:pStyle w:val="10"/>
              <w:spacing w:before="65" w:line="240" w:lineRule="auto"/>
              <w:jc w:val="center"/>
              <w:rPr>
                <w:rFonts w:hint="default" w:eastAsia="宋体"/>
                <w:sz w:val="24"/>
                <w:szCs w:val="24"/>
                <w:lang w:val="en-US" w:eastAsia="zh-CN"/>
              </w:rPr>
            </w:pPr>
            <w:r>
              <w:rPr>
                <w:rFonts w:hint="eastAsia"/>
                <w:sz w:val="24"/>
                <w:szCs w:val="24"/>
                <w:lang w:val="en-US" w:eastAsia="zh-CN"/>
              </w:rPr>
              <w:t>冯  梅</w:t>
            </w:r>
          </w:p>
        </w:tc>
        <w:tc>
          <w:tcPr>
            <w:tcW w:w="1637" w:type="dxa"/>
            <w:vAlign w:val="center"/>
          </w:tcPr>
          <w:p>
            <w:pPr>
              <w:pStyle w:val="10"/>
              <w:spacing w:before="65" w:line="240" w:lineRule="auto"/>
              <w:jc w:val="center"/>
              <w:rPr>
                <w:sz w:val="24"/>
                <w:szCs w:val="24"/>
              </w:rPr>
            </w:pPr>
            <w:r>
              <w:rPr>
                <w:spacing w:val="2"/>
                <w:sz w:val="24"/>
                <w:szCs w:val="24"/>
              </w:rPr>
              <w:t>主任医师</w:t>
            </w:r>
          </w:p>
        </w:tc>
        <w:tc>
          <w:tcPr>
            <w:tcW w:w="5692" w:type="dxa"/>
            <w:vAlign w:val="top"/>
          </w:tcPr>
          <w:p>
            <w:pPr>
              <w:pStyle w:val="10"/>
              <w:spacing w:before="64" w:line="240" w:lineRule="auto"/>
              <w:jc w:val="left"/>
              <w:rPr>
                <w:sz w:val="24"/>
                <w:szCs w:val="24"/>
              </w:rPr>
            </w:pPr>
            <w:r>
              <w:rPr>
                <w:sz w:val="24"/>
                <w:szCs w:val="24"/>
                <w:lang w:val="en-US" w:eastAsia="zh-CN"/>
              </w:rPr>
              <w:t>从事宫颈癌、卵巢癌、子宫内膜癌等妇科肿瘤的放射治疗、近距离后装放射治疗、三维适形调强等精确放射治疗以及内科治疗。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905" w:type="dxa"/>
            <w:vAlign w:val="center"/>
          </w:tcPr>
          <w:p>
            <w:pPr>
              <w:pStyle w:val="10"/>
              <w:spacing w:before="256" w:line="240" w:lineRule="auto"/>
              <w:jc w:val="center"/>
              <w:rPr>
                <w:rFonts w:hint="default" w:eastAsia="宋体"/>
                <w:sz w:val="24"/>
                <w:szCs w:val="24"/>
                <w:lang w:val="en-US" w:eastAsia="zh-CN"/>
              </w:rPr>
            </w:pPr>
            <w:r>
              <w:rPr>
                <w:rFonts w:hint="eastAsia"/>
                <w:sz w:val="24"/>
                <w:szCs w:val="24"/>
                <w:lang w:val="en-US" w:eastAsia="zh-CN"/>
              </w:rPr>
              <w:t>3</w:t>
            </w:r>
          </w:p>
        </w:tc>
        <w:tc>
          <w:tcPr>
            <w:tcW w:w="997" w:type="dxa"/>
            <w:vAlign w:val="center"/>
          </w:tcPr>
          <w:p>
            <w:pPr>
              <w:pStyle w:val="10"/>
              <w:spacing w:before="204" w:line="240" w:lineRule="auto"/>
              <w:jc w:val="center"/>
              <w:rPr>
                <w:rFonts w:hint="default"/>
                <w:sz w:val="24"/>
                <w:szCs w:val="24"/>
                <w:lang w:val="en-US" w:eastAsia="zh-CN"/>
              </w:rPr>
            </w:pPr>
            <w:r>
              <w:rPr>
                <w:rFonts w:hint="eastAsia"/>
                <w:sz w:val="24"/>
                <w:szCs w:val="24"/>
                <w:lang w:val="en-US" w:eastAsia="zh-CN"/>
              </w:rPr>
              <w:t>王  敏</w:t>
            </w:r>
          </w:p>
        </w:tc>
        <w:tc>
          <w:tcPr>
            <w:tcW w:w="1637" w:type="dxa"/>
            <w:vAlign w:val="center"/>
          </w:tcPr>
          <w:p>
            <w:pPr>
              <w:pStyle w:val="10"/>
              <w:spacing w:before="204" w:line="240" w:lineRule="auto"/>
              <w:jc w:val="center"/>
              <w:rPr>
                <w:spacing w:val="2"/>
                <w:sz w:val="24"/>
                <w:szCs w:val="24"/>
              </w:rPr>
            </w:pPr>
            <w:r>
              <w:rPr>
                <w:spacing w:val="-2"/>
                <w:sz w:val="24"/>
                <w:szCs w:val="24"/>
              </w:rPr>
              <w:t>主任医师</w:t>
            </w:r>
          </w:p>
        </w:tc>
        <w:tc>
          <w:tcPr>
            <w:tcW w:w="5692" w:type="dxa"/>
            <w:vAlign w:val="top"/>
          </w:tcPr>
          <w:p>
            <w:pPr>
              <w:pStyle w:val="10"/>
              <w:spacing w:before="63" w:line="240" w:lineRule="auto"/>
              <w:ind w:left="37" w:leftChars="0" w:right="51" w:rightChars="0" w:firstLine="49" w:firstLineChars="0"/>
              <w:jc w:val="left"/>
              <w:rPr>
                <w:sz w:val="24"/>
                <w:szCs w:val="24"/>
              </w:rPr>
            </w:pPr>
            <w:r>
              <w:rPr>
                <w:rFonts w:hint="eastAsia"/>
                <w:sz w:val="24"/>
                <w:szCs w:val="24"/>
              </w:rPr>
              <w:t>专业从事宫颈癌、子宫内膜癌、卵巢癌、外阴癌等放射治疗及恶性肿瘤的化疗、靶向治疗、免疫治疗等，尤其擅长妇科恶性肿瘤的螺旋断层放射治疗（TOMO）、容积弧形旋转调强放疗（VMAT）、影像引导的三维近距离后装放疗（IGRT），在妇科恶性肿瘤综合治疗领域积累了丰富临床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5" w:type="dxa"/>
            <w:vAlign w:val="center"/>
          </w:tcPr>
          <w:p>
            <w:pPr>
              <w:pStyle w:val="10"/>
              <w:spacing w:before="104" w:line="240" w:lineRule="auto"/>
              <w:jc w:val="center"/>
              <w:rPr>
                <w:rFonts w:hint="default" w:eastAsia="宋体"/>
                <w:sz w:val="24"/>
                <w:szCs w:val="24"/>
                <w:lang w:val="en-US" w:eastAsia="zh-CN"/>
              </w:rPr>
            </w:pPr>
            <w:r>
              <w:rPr>
                <w:rFonts w:hint="eastAsia"/>
                <w:sz w:val="24"/>
                <w:szCs w:val="24"/>
                <w:lang w:val="en-US" w:eastAsia="zh-CN"/>
              </w:rPr>
              <w:t>4</w:t>
            </w:r>
          </w:p>
        </w:tc>
        <w:tc>
          <w:tcPr>
            <w:tcW w:w="997" w:type="dxa"/>
            <w:vAlign w:val="center"/>
          </w:tcPr>
          <w:p>
            <w:pPr>
              <w:pStyle w:val="10"/>
              <w:spacing w:before="55" w:line="240" w:lineRule="auto"/>
              <w:ind w:left="101"/>
              <w:jc w:val="center"/>
              <w:rPr>
                <w:rFonts w:hint="default" w:eastAsia="宋体"/>
                <w:sz w:val="24"/>
                <w:szCs w:val="24"/>
                <w:lang w:val="en-US" w:eastAsia="zh-CN"/>
              </w:rPr>
            </w:pPr>
            <w:r>
              <w:rPr>
                <w:rFonts w:hint="eastAsia"/>
                <w:sz w:val="24"/>
                <w:szCs w:val="24"/>
                <w:lang w:val="en-US" w:eastAsia="zh-CN"/>
              </w:rPr>
              <w:t>李慧灵</w:t>
            </w:r>
          </w:p>
        </w:tc>
        <w:tc>
          <w:tcPr>
            <w:tcW w:w="1637" w:type="dxa"/>
            <w:vAlign w:val="center"/>
          </w:tcPr>
          <w:p>
            <w:pPr>
              <w:pStyle w:val="10"/>
              <w:spacing w:before="52" w:line="240" w:lineRule="auto"/>
              <w:ind w:left="142"/>
              <w:jc w:val="center"/>
              <w:rPr>
                <w:sz w:val="24"/>
                <w:szCs w:val="24"/>
              </w:rPr>
            </w:pPr>
            <w:r>
              <w:rPr>
                <w:rFonts w:hint="eastAsia"/>
                <w:spacing w:val="-2"/>
                <w:sz w:val="24"/>
                <w:szCs w:val="24"/>
                <w:lang w:val="en-US" w:eastAsia="zh-CN"/>
              </w:rPr>
              <w:t>副</w:t>
            </w:r>
            <w:r>
              <w:rPr>
                <w:spacing w:val="-2"/>
                <w:sz w:val="24"/>
                <w:szCs w:val="24"/>
              </w:rPr>
              <w:t>主任医师</w:t>
            </w:r>
          </w:p>
        </w:tc>
        <w:tc>
          <w:tcPr>
            <w:tcW w:w="5692" w:type="dxa"/>
            <w:vAlign w:val="top"/>
          </w:tcPr>
          <w:p>
            <w:pPr>
              <w:pStyle w:val="10"/>
              <w:spacing w:before="53" w:line="240" w:lineRule="auto"/>
              <w:jc w:val="left"/>
              <w:rPr>
                <w:sz w:val="24"/>
                <w:szCs w:val="24"/>
              </w:rPr>
            </w:pPr>
            <w:r>
              <w:rPr>
                <w:sz w:val="24"/>
                <w:szCs w:val="24"/>
                <w:lang w:val="en-US" w:eastAsia="zh-CN"/>
              </w:rPr>
              <w:t>从事宫颈癌、卵巢癌、子宫内膜癌、阴道癌等妇科肿瘤的放射治疗、三维适形调强等精准放射治疗以及内科治疗</w:t>
            </w:r>
            <w:r>
              <w:rPr>
                <w:rFonts w:hint="eastAsia"/>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905" w:type="dxa"/>
            <w:vAlign w:val="center"/>
          </w:tcPr>
          <w:p>
            <w:pPr>
              <w:pStyle w:val="10"/>
              <w:spacing w:before="105" w:line="240" w:lineRule="auto"/>
              <w:jc w:val="center"/>
              <w:rPr>
                <w:rFonts w:hint="eastAsia" w:eastAsia="宋体"/>
                <w:sz w:val="24"/>
                <w:szCs w:val="24"/>
                <w:lang w:val="en-US" w:eastAsia="zh-CN"/>
              </w:rPr>
            </w:pPr>
            <w:r>
              <w:rPr>
                <w:rFonts w:hint="eastAsia"/>
                <w:sz w:val="24"/>
                <w:szCs w:val="24"/>
                <w:lang w:val="en-US" w:eastAsia="zh-CN"/>
              </w:rPr>
              <w:t>5</w:t>
            </w:r>
          </w:p>
        </w:tc>
        <w:tc>
          <w:tcPr>
            <w:tcW w:w="997" w:type="dxa"/>
            <w:vAlign w:val="center"/>
          </w:tcPr>
          <w:p>
            <w:pPr>
              <w:pStyle w:val="10"/>
              <w:spacing w:before="53" w:line="240" w:lineRule="auto"/>
              <w:ind w:left="101"/>
              <w:jc w:val="center"/>
              <w:rPr>
                <w:rFonts w:hint="default" w:eastAsia="宋体"/>
                <w:sz w:val="24"/>
                <w:szCs w:val="24"/>
                <w:lang w:val="en-US" w:eastAsia="zh-CN"/>
              </w:rPr>
            </w:pPr>
            <w:r>
              <w:rPr>
                <w:rFonts w:hint="eastAsia"/>
                <w:sz w:val="24"/>
                <w:szCs w:val="24"/>
                <w:lang w:val="en-US" w:eastAsia="zh-CN"/>
              </w:rPr>
              <w:t>陈文娟</w:t>
            </w:r>
          </w:p>
        </w:tc>
        <w:tc>
          <w:tcPr>
            <w:tcW w:w="1637" w:type="dxa"/>
            <w:vAlign w:val="center"/>
          </w:tcPr>
          <w:p>
            <w:pPr>
              <w:pStyle w:val="10"/>
              <w:spacing w:before="53" w:line="240" w:lineRule="auto"/>
              <w:ind w:left="142"/>
              <w:jc w:val="center"/>
              <w:rPr>
                <w:sz w:val="24"/>
                <w:szCs w:val="24"/>
              </w:rPr>
            </w:pPr>
            <w:r>
              <w:rPr>
                <w:rFonts w:hint="eastAsia"/>
                <w:spacing w:val="-2"/>
                <w:sz w:val="24"/>
                <w:szCs w:val="24"/>
                <w:lang w:val="en-US" w:eastAsia="zh-CN"/>
              </w:rPr>
              <w:t>副</w:t>
            </w:r>
            <w:r>
              <w:rPr>
                <w:spacing w:val="-2"/>
                <w:sz w:val="24"/>
                <w:szCs w:val="24"/>
              </w:rPr>
              <w:t>主任医师</w:t>
            </w:r>
          </w:p>
        </w:tc>
        <w:tc>
          <w:tcPr>
            <w:tcW w:w="5692" w:type="dxa"/>
            <w:vAlign w:val="top"/>
          </w:tcPr>
          <w:p>
            <w:pPr>
              <w:pStyle w:val="10"/>
              <w:spacing w:before="56" w:line="240" w:lineRule="auto"/>
              <w:jc w:val="left"/>
              <w:rPr>
                <w:sz w:val="24"/>
                <w:szCs w:val="24"/>
              </w:rPr>
            </w:pPr>
            <w:r>
              <w:rPr>
                <w:rFonts w:hint="eastAsia"/>
                <w:sz w:val="24"/>
                <w:szCs w:val="24"/>
              </w:rPr>
              <w:t>从事宫颈癌、子宫内膜癌、卵巢癌等妇科肿瘤的放射治疗、近距离后装等精准放疗及内科治疗。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905" w:type="dxa"/>
            <w:vAlign w:val="center"/>
          </w:tcPr>
          <w:p>
            <w:pPr>
              <w:pStyle w:val="10"/>
              <w:spacing w:before="109" w:line="240" w:lineRule="auto"/>
              <w:jc w:val="center"/>
              <w:rPr>
                <w:rFonts w:hint="eastAsia" w:eastAsia="宋体"/>
                <w:sz w:val="24"/>
                <w:szCs w:val="24"/>
                <w:lang w:val="en-US" w:eastAsia="zh-CN"/>
              </w:rPr>
            </w:pPr>
            <w:r>
              <w:rPr>
                <w:rFonts w:hint="eastAsia"/>
                <w:sz w:val="24"/>
                <w:szCs w:val="24"/>
                <w:lang w:val="en-US" w:eastAsia="zh-CN"/>
              </w:rPr>
              <w:t>6</w:t>
            </w:r>
          </w:p>
        </w:tc>
        <w:tc>
          <w:tcPr>
            <w:tcW w:w="997" w:type="dxa"/>
            <w:vAlign w:val="center"/>
          </w:tcPr>
          <w:p>
            <w:pPr>
              <w:pStyle w:val="10"/>
              <w:spacing w:before="57" w:line="240" w:lineRule="auto"/>
              <w:ind w:left="101" w:leftChars="0"/>
              <w:jc w:val="center"/>
              <w:rPr>
                <w:rFonts w:hint="default"/>
                <w:sz w:val="24"/>
                <w:szCs w:val="24"/>
                <w:lang w:val="en-US" w:eastAsia="zh-CN"/>
              </w:rPr>
            </w:pPr>
            <w:r>
              <w:rPr>
                <w:rFonts w:hint="eastAsia"/>
                <w:sz w:val="24"/>
                <w:szCs w:val="24"/>
                <w:lang w:val="en-US" w:eastAsia="zh-CN"/>
              </w:rPr>
              <w:t>吴宏清</w:t>
            </w:r>
          </w:p>
        </w:tc>
        <w:tc>
          <w:tcPr>
            <w:tcW w:w="1637" w:type="dxa"/>
            <w:vAlign w:val="center"/>
          </w:tcPr>
          <w:p>
            <w:pPr>
              <w:pStyle w:val="10"/>
              <w:spacing w:before="57" w:line="240" w:lineRule="auto"/>
              <w:ind w:left="142" w:leftChars="0"/>
              <w:jc w:val="center"/>
              <w:rPr>
                <w:spacing w:val="-2"/>
                <w:sz w:val="24"/>
                <w:szCs w:val="24"/>
              </w:rPr>
            </w:pPr>
            <w:r>
              <w:rPr>
                <w:rFonts w:hint="eastAsia"/>
                <w:spacing w:val="-2"/>
                <w:sz w:val="24"/>
                <w:szCs w:val="24"/>
                <w:lang w:val="en-US" w:eastAsia="zh-CN"/>
              </w:rPr>
              <w:t>副</w:t>
            </w:r>
            <w:r>
              <w:rPr>
                <w:spacing w:val="-2"/>
                <w:sz w:val="24"/>
                <w:szCs w:val="24"/>
              </w:rPr>
              <w:t>主任医师</w:t>
            </w:r>
          </w:p>
        </w:tc>
        <w:tc>
          <w:tcPr>
            <w:tcW w:w="5692" w:type="dxa"/>
            <w:vAlign w:val="top"/>
          </w:tcPr>
          <w:p>
            <w:pPr>
              <w:pStyle w:val="10"/>
              <w:spacing w:before="56" w:line="240" w:lineRule="auto"/>
              <w:jc w:val="left"/>
              <w:rPr>
                <w:sz w:val="24"/>
                <w:szCs w:val="24"/>
              </w:rPr>
            </w:pPr>
            <w:r>
              <w:rPr>
                <w:sz w:val="24"/>
                <w:szCs w:val="24"/>
                <w:lang w:val="en-US" w:eastAsia="zh-CN"/>
              </w:rPr>
              <w:t>从事宫颈癌、卵巢癌、子宫内膜癌等妇科肿瘤的放射治疗、近距离后装放射治疗、三维适形调强等精确放射治疗以及内科治疗。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905" w:type="dxa"/>
            <w:vAlign w:val="center"/>
          </w:tcPr>
          <w:p>
            <w:pPr>
              <w:pStyle w:val="10"/>
              <w:spacing w:before="256" w:line="240" w:lineRule="auto"/>
              <w:jc w:val="center"/>
              <w:rPr>
                <w:rFonts w:hint="eastAsia" w:eastAsia="宋体"/>
                <w:sz w:val="24"/>
                <w:szCs w:val="24"/>
                <w:lang w:val="en-US" w:eastAsia="zh-CN"/>
              </w:rPr>
            </w:pPr>
            <w:r>
              <w:rPr>
                <w:rFonts w:hint="eastAsia"/>
                <w:sz w:val="24"/>
                <w:szCs w:val="24"/>
                <w:lang w:val="en-US" w:eastAsia="zh-CN"/>
              </w:rPr>
              <w:t>7</w:t>
            </w:r>
          </w:p>
        </w:tc>
        <w:tc>
          <w:tcPr>
            <w:tcW w:w="997" w:type="dxa"/>
            <w:vAlign w:val="center"/>
          </w:tcPr>
          <w:p>
            <w:pPr>
              <w:pStyle w:val="10"/>
              <w:spacing w:before="204" w:line="240" w:lineRule="auto"/>
              <w:ind w:left="101"/>
              <w:jc w:val="center"/>
              <w:rPr>
                <w:rFonts w:hint="default" w:eastAsia="宋体"/>
                <w:sz w:val="24"/>
                <w:szCs w:val="24"/>
                <w:lang w:val="en-US" w:eastAsia="zh-CN"/>
              </w:rPr>
            </w:pPr>
            <w:r>
              <w:rPr>
                <w:rFonts w:hint="eastAsia"/>
                <w:sz w:val="24"/>
                <w:szCs w:val="24"/>
                <w:lang w:val="en-US" w:eastAsia="zh-CN"/>
              </w:rPr>
              <w:t>林  娴</w:t>
            </w:r>
          </w:p>
        </w:tc>
        <w:tc>
          <w:tcPr>
            <w:tcW w:w="1637" w:type="dxa"/>
            <w:vAlign w:val="center"/>
          </w:tcPr>
          <w:p>
            <w:pPr>
              <w:pStyle w:val="10"/>
              <w:spacing w:before="204" w:line="240" w:lineRule="auto"/>
              <w:ind w:left="142"/>
              <w:jc w:val="center"/>
              <w:rPr>
                <w:sz w:val="24"/>
                <w:szCs w:val="24"/>
              </w:rPr>
            </w:pPr>
            <w:r>
              <w:rPr>
                <w:rFonts w:hint="eastAsia"/>
                <w:spacing w:val="-2"/>
                <w:sz w:val="24"/>
                <w:szCs w:val="24"/>
                <w:lang w:val="en-US" w:eastAsia="zh-CN"/>
              </w:rPr>
              <w:t>副</w:t>
            </w:r>
            <w:r>
              <w:rPr>
                <w:spacing w:val="-2"/>
                <w:sz w:val="24"/>
                <w:szCs w:val="24"/>
              </w:rPr>
              <w:t>主任医师</w:t>
            </w:r>
          </w:p>
        </w:tc>
        <w:tc>
          <w:tcPr>
            <w:tcW w:w="5692" w:type="dxa"/>
            <w:vAlign w:val="top"/>
          </w:tcPr>
          <w:p>
            <w:pPr>
              <w:pStyle w:val="10"/>
              <w:spacing w:before="63" w:line="240" w:lineRule="auto"/>
              <w:ind w:right="51"/>
              <w:jc w:val="both"/>
              <w:rPr>
                <w:rFonts w:hint="eastAsia" w:eastAsia="宋体"/>
                <w:sz w:val="24"/>
                <w:szCs w:val="24"/>
                <w:lang w:eastAsia="zh-CN"/>
              </w:rPr>
            </w:pPr>
            <w:r>
              <w:rPr>
                <w:rFonts w:hint="eastAsia"/>
                <w:sz w:val="24"/>
                <w:szCs w:val="24"/>
              </w:rPr>
              <w:t>专业从事宫颈癌</w:t>
            </w:r>
            <w:r>
              <w:rPr>
                <w:rFonts w:hint="eastAsia"/>
                <w:sz w:val="24"/>
                <w:szCs w:val="24"/>
                <w:lang w:eastAsia="zh-CN"/>
              </w:rPr>
              <w:t>、</w:t>
            </w:r>
            <w:r>
              <w:rPr>
                <w:rFonts w:hint="eastAsia"/>
                <w:sz w:val="24"/>
                <w:szCs w:val="24"/>
              </w:rPr>
              <w:t>卵巢癌</w:t>
            </w:r>
            <w:r>
              <w:rPr>
                <w:rFonts w:hint="eastAsia"/>
                <w:sz w:val="24"/>
                <w:szCs w:val="24"/>
                <w:lang w:eastAsia="zh-CN"/>
              </w:rPr>
              <w:t>、</w:t>
            </w:r>
            <w:r>
              <w:rPr>
                <w:rFonts w:hint="eastAsia"/>
                <w:sz w:val="24"/>
                <w:szCs w:val="24"/>
              </w:rPr>
              <w:t>子宫内膜癌</w:t>
            </w:r>
            <w:r>
              <w:rPr>
                <w:rFonts w:hint="eastAsia"/>
                <w:sz w:val="24"/>
                <w:szCs w:val="24"/>
                <w:lang w:eastAsia="zh-CN"/>
              </w:rPr>
              <w:t>、</w:t>
            </w:r>
            <w:r>
              <w:rPr>
                <w:rFonts w:hint="eastAsia"/>
                <w:sz w:val="24"/>
                <w:szCs w:val="24"/>
              </w:rPr>
              <w:t>外阴阴道癌等妇科</w:t>
            </w:r>
            <w:r>
              <w:rPr>
                <w:rFonts w:hint="eastAsia"/>
                <w:sz w:val="24"/>
                <w:szCs w:val="24"/>
                <w:lang w:val="en-US" w:eastAsia="zh-CN"/>
              </w:rPr>
              <w:t>恶性</w:t>
            </w:r>
            <w:r>
              <w:rPr>
                <w:rFonts w:hint="eastAsia"/>
                <w:sz w:val="24"/>
                <w:szCs w:val="24"/>
              </w:rPr>
              <w:t>肿瘤的化疗</w:t>
            </w:r>
            <w:r>
              <w:rPr>
                <w:rFonts w:hint="eastAsia"/>
                <w:sz w:val="24"/>
                <w:szCs w:val="24"/>
                <w:lang w:eastAsia="zh-CN"/>
              </w:rPr>
              <w:t>、</w:t>
            </w:r>
            <w:r>
              <w:rPr>
                <w:rFonts w:hint="eastAsia"/>
                <w:sz w:val="24"/>
                <w:szCs w:val="24"/>
              </w:rPr>
              <w:t>放射</w:t>
            </w:r>
            <w:r>
              <w:rPr>
                <w:rFonts w:hint="eastAsia"/>
                <w:sz w:val="24"/>
                <w:szCs w:val="24"/>
                <w:lang w:eastAsia="zh-CN"/>
              </w:rPr>
              <w:t>、</w:t>
            </w:r>
            <w:r>
              <w:rPr>
                <w:rFonts w:hint="eastAsia"/>
                <w:sz w:val="24"/>
                <w:szCs w:val="24"/>
              </w:rPr>
              <w:t>免疫</w:t>
            </w:r>
            <w:r>
              <w:rPr>
                <w:rFonts w:hint="eastAsia"/>
                <w:sz w:val="24"/>
                <w:szCs w:val="24"/>
                <w:lang w:eastAsia="zh-CN"/>
              </w:rPr>
              <w:t>、</w:t>
            </w:r>
            <w:r>
              <w:rPr>
                <w:rFonts w:hint="eastAsia"/>
                <w:sz w:val="24"/>
                <w:szCs w:val="24"/>
              </w:rPr>
              <w:t>靶向治疗等综合治疗，近距离后装放疗，三维适型调强放疗等精确放疗</w:t>
            </w:r>
            <w:r>
              <w:rPr>
                <w:rFonts w:hint="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905" w:type="dxa"/>
            <w:vAlign w:val="center"/>
          </w:tcPr>
          <w:p>
            <w:pPr>
              <w:pStyle w:val="10"/>
              <w:spacing w:before="65" w:line="240" w:lineRule="auto"/>
              <w:jc w:val="center"/>
              <w:rPr>
                <w:rFonts w:hint="eastAsia" w:eastAsia="宋体"/>
                <w:sz w:val="24"/>
                <w:szCs w:val="24"/>
                <w:lang w:val="en-US" w:eastAsia="zh-CN"/>
              </w:rPr>
            </w:pPr>
            <w:r>
              <w:rPr>
                <w:rFonts w:hint="eastAsia"/>
                <w:sz w:val="24"/>
                <w:szCs w:val="24"/>
                <w:lang w:val="en-US" w:eastAsia="zh-CN"/>
              </w:rPr>
              <w:t>8</w:t>
            </w:r>
          </w:p>
        </w:tc>
        <w:tc>
          <w:tcPr>
            <w:tcW w:w="997" w:type="dxa"/>
            <w:vAlign w:val="center"/>
          </w:tcPr>
          <w:p>
            <w:pPr>
              <w:pStyle w:val="10"/>
              <w:spacing w:before="65" w:line="240" w:lineRule="auto"/>
              <w:jc w:val="center"/>
              <w:rPr>
                <w:rFonts w:hint="eastAsia" w:eastAsia="宋体"/>
                <w:sz w:val="24"/>
                <w:szCs w:val="24"/>
                <w:lang w:val="en-US" w:eastAsia="zh-CN"/>
              </w:rPr>
            </w:pPr>
            <w:r>
              <w:rPr>
                <w:rFonts w:hint="eastAsia"/>
                <w:sz w:val="24"/>
                <w:szCs w:val="24"/>
                <w:lang w:val="en-US" w:eastAsia="zh-CN"/>
              </w:rPr>
              <w:t>陈  琴</w:t>
            </w:r>
          </w:p>
        </w:tc>
        <w:tc>
          <w:tcPr>
            <w:tcW w:w="1637" w:type="dxa"/>
            <w:vAlign w:val="center"/>
          </w:tcPr>
          <w:p>
            <w:pPr>
              <w:pStyle w:val="10"/>
              <w:spacing w:before="65" w:line="240" w:lineRule="auto"/>
              <w:jc w:val="center"/>
              <w:rPr>
                <w:rFonts w:hint="default" w:eastAsia="宋体"/>
                <w:sz w:val="24"/>
                <w:szCs w:val="24"/>
                <w:lang w:val="en-US" w:eastAsia="zh-CN"/>
              </w:rPr>
            </w:pPr>
            <w:r>
              <w:rPr>
                <w:rFonts w:hint="eastAsia"/>
                <w:sz w:val="24"/>
                <w:szCs w:val="24"/>
                <w:lang w:val="en-US" w:eastAsia="zh-CN"/>
              </w:rPr>
              <w:t>副主任医师</w:t>
            </w:r>
          </w:p>
        </w:tc>
        <w:tc>
          <w:tcPr>
            <w:tcW w:w="5692" w:type="dxa"/>
            <w:vAlign w:val="top"/>
          </w:tcPr>
          <w:p>
            <w:pPr>
              <w:pStyle w:val="10"/>
              <w:spacing w:before="65" w:line="240" w:lineRule="auto"/>
              <w:jc w:val="left"/>
              <w:rPr>
                <w:sz w:val="24"/>
                <w:szCs w:val="24"/>
              </w:rPr>
            </w:pPr>
            <w:r>
              <w:rPr>
                <w:rFonts w:hint="eastAsia"/>
                <w:sz w:val="24"/>
                <w:szCs w:val="24"/>
              </w:rPr>
              <w:t>从事宫颈癌、卵巢癌、子宫内膜癌等妇科肿瘤的放射治疗、近距离后装放射治疗、三维适形调强等精确放射治疗以及内科治疗。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5" w:type="dxa"/>
            <w:vAlign w:val="center"/>
          </w:tcPr>
          <w:p>
            <w:pPr>
              <w:pStyle w:val="10"/>
              <w:spacing w:before="109" w:line="240" w:lineRule="auto"/>
              <w:jc w:val="center"/>
              <w:rPr>
                <w:rFonts w:hint="eastAsia" w:eastAsia="宋体"/>
                <w:sz w:val="24"/>
                <w:szCs w:val="24"/>
                <w:lang w:val="en-US" w:eastAsia="zh-CN"/>
              </w:rPr>
            </w:pPr>
            <w:r>
              <w:rPr>
                <w:rFonts w:hint="eastAsia"/>
                <w:sz w:val="24"/>
                <w:szCs w:val="24"/>
                <w:lang w:val="en-US" w:eastAsia="zh-CN"/>
              </w:rPr>
              <w:t>9</w:t>
            </w:r>
          </w:p>
        </w:tc>
        <w:tc>
          <w:tcPr>
            <w:tcW w:w="997" w:type="dxa"/>
            <w:vAlign w:val="center"/>
          </w:tcPr>
          <w:p>
            <w:pPr>
              <w:pStyle w:val="10"/>
              <w:spacing w:before="58" w:line="240" w:lineRule="auto"/>
              <w:ind w:left="101"/>
              <w:jc w:val="center"/>
              <w:rPr>
                <w:rFonts w:hint="default" w:eastAsia="宋体"/>
                <w:sz w:val="24"/>
                <w:szCs w:val="24"/>
                <w:lang w:val="en-US" w:eastAsia="zh-CN"/>
              </w:rPr>
            </w:pPr>
            <w:r>
              <w:rPr>
                <w:rFonts w:hint="eastAsia"/>
                <w:sz w:val="24"/>
                <w:szCs w:val="24"/>
                <w:lang w:val="en-US" w:eastAsia="zh-CN"/>
              </w:rPr>
              <w:t>李秀华</w:t>
            </w:r>
          </w:p>
        </w:tc>
        <w:tc>
          <w:tcPr>
            <w:tcW w:w="1637" w:type="dxa"/>
            <w:vAlign w:val="center"/>
          </w:tcPr>
          <w:p>
            <w:pPr>
              <w:pStyle w:val="10"/>
              <w:spacing w:before="56" w:line="240" w:lineRule="auto"/>
              <w:ind w:left="142"/>
              <w:jc w:val="center"/>
              <w:rPr>
                <w:sz w:val="24"/>
                <w:szCs w:val="24"/>
              </w:rPr>
            </w:pPr>
            <w:r>
              <w:rPr>
                <w:rFonts w:hint="eastAsia"/>
                <w:sz w:val="24"/>
                <w:szCs w:val="24"/>
                <w:lang w:val="en-US" w:eastAsia="zh-CN"/>
              </w:rPr>
              <w:t>副主任医师</w:t>
            </w:r>
          </w:p>
        </w:tc>
        <w:tc>
          <w:tcPr>
            <w:tcW w:w="5692" w:type="dxa"/>
            <w:vAlign w:val="top"/>
          </w:tcPr>
          <w:p>
            <w:pPr>
              <w:pStyle w:val="10"/>
              <w:spacing w:before="55" w:line="240" w:lineRule="auto"/>
              <w:jc w:val="left"/>
              <w:rPr>
                <w:sz w:val="24"/>
                <w:szCs w:val="24"/>
              </w:rPr>
            </w:pPr>
            <w:r>
              <w:rPr>
                <w:rFonts w:hint="eastAsia"/>
                <w:sz w:val="24"/>
                <w:szCs w:val="24"/>
              </w:rPr>
              <w:t>从事宫颈癌、卵巢癌、子宫内膜癌、阴道癌等妇科肿瘤的放射治疗、三维适形调强等精准放射治疗以及内科治疗。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05" w:type="dxa"/>
            <w:vAlign w:val="center"/>
          </w:tcPr>
          <w:p>
            <w:pPr>
              <w:pStyle w:val="10"/>
              <w:spacing w:before="110" w:line="240" w:lineRule="auto"/>
              <w:jc w:val="center"/>
              <w:rPr>
                <w:rFonts w:hint="default" w:eastAsia="宋体"/>
                <w:sz w:val="24"/>
                <w:szCs w:val="24"/>
                <w:lang w:val="en-US" w:eastAsia="zh-CN"/>
              </w:rPr>
            </w:pPr>
            <w:r>
              <w:rPr>
                <w:rFonts w:hint="eastAsia"/>
                <w:sz w:val="24"/>
                <w:szCs w:val="24"/>
                <w:lang w:val="en-US" w:eastAsia="zh-CN"/>
              </w:rPr>
              <w:t>10</w:t>
            </w:r>
          </w:p>
        </w:tc>
        <w:tc>
          <w:tcPr>
            <w:tcW w:w="997" w:type="dxa"/>
            <w:vAlign w:val="center"/>
          </w:tcPr>
          <w:p>
            <w:pPr>
              <w:pStyle w:val="10"/>
              <w:spacing w:before="57" w:line="240" w:lineRule="auto"/>
              <w:ind w:left="101"/>
              <w:jc w:val="center"/>
              <w:rPr>
                <w:rFonts w:hint="default" w:eastAsia="宋体"/>
                <w:sz w:val="24"/>
                <w:szCs w:val="24"/>
                <w:lang w:val="en-US" w:eastAsia="zh-CN"/>
              </w:rPr>
            </w:pPr>
            <w:r>
              <w:rPr>
                <w:rFonts w:hint="eastAsia"/>
                <w:sz w:val="24"/>
                <w:szCs w:val="24"/>
                <w:lang w:val="en-US" w:eastAsia="zh-CN"/>
              </w:rPr>
              <w:t>林益彬</w:t>
            </w:r>
          </w:p>
        </w:tc>
        <w:tc>
          <w:tcPr>
            <w:tcW w:w="1637" w:type="dxa"/>
            <w:vAlign w:val="center"/>
          </w:tcPr>
          <w:p>
            <w:pPr>
              <w:pStyle w:val="10"/>
              <w:spacing w:before="58" w:line="240" w:lineRule="auto"/>
              <w:ind w:left="142"/>
              <w:jc w:val="center"/>
              <w:rPr>
                <w:sz w:val="24"/>
                <w:szCs w:val="24"/>
              </w:rPr>
            </w:pPr>
            <w:r>
              <w:rPr>
                <w:rFonts w:hint="eastAsia"/>
                <w:sz w:val="24"/>
                <w:szCs w:val="24"/>
                <w:lang w:val="en-US" w:eastAsia="zh-CN"/>
              </w:rPr>
              <w:t>副主任医师</w:t>
            </w:r>
          </w:p>
        </w:tc>
        <w:tc>
          <w:tcPr>
            <w:tcW w:w="5692" w:type="dxa"/>
            <w:vAlign w:val="top"/>
          </w:tcPr>
          <w:p>
            <w:pPr>
              <w:pStyle w:val="10"/>
              <w:spacing w:before="59" w:line="240" w:lineRule="auto"/>
              <w:jc w:val="left"/>
              <w:rPr>
                <w:sz w:val="24"/>
                <w:szCs w:val="24"/>
              </w:rPr>
            </w:pPr>
            <w:r>
              <w:rPr>
                <w:rFonts w:hint="eastAsia"/>
                <w:sz w:val="24"/>
                <w:szCs w:val="24"/>
              </w:rPr>
              <w:t>从事宫颈癌、卵巢癌、子宫内膜癌等妇科肿瘤的放射治疗、近距离后装、三维适形调强等精确放射治疗以及内科靶向、免疫等综合治疗。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05" w:type="dxa"/>
            <w:vAlign w:val="center"/>
          </w:tcPr>
          <w:p>
            <w:pPr>
              <w:pStyle w:val="10"/>
              <w:spacing w:before="110" w:line="240" w:lineRule="auto"/>
              <w:jc w:val="center"/>
              <w:rPr>
                <w:rFonts w:hint="default"/>
                <w:sz w:val="24"/>
                <w:szCs w:val="24"/>
                <w:lang w:val="en-US" w:eastAsia="zh-CN"/>
              </w:rPr>
            </w:pPr>
            <w:r>
              <w:rPr>
                <w:rFonts w:hint="eastAsia"/>
                <w:sz w:val="24"/>
                <w:szCs w:val="24"/>
                <w:lang w:val="en-US" w:eastAsia="zh-CN"/>
              </w:rPr>
              <w:t>11</w:t>
            </w:r>
          </w:p>
        </w:tc>
        <w:tc>
          <w:tcPr>
            <w:tcW w:w="997" w:type="dxa"/>
            <w:vAlign w:val="center"/>
          </w:tcPr>
          <w:p>
            <w:pPr>
              <w:pStyle w:val="10"/>
              <w:spacing w:before="57" w:line="240" w:lineRule="auto"/>
              <w:ind w:left="101"/>
              <w:jc w:val="center"/>
              <w:rPr>
                <w:rFonts w:hint="default"/>
                <w:sz w:val="24"/>
                <w:szCs w:val="24"/>
                <w:lang w:val="en-US" w:eastAsia="zh-CN"/>
              </w:rPr>
            </w:pPr>
            <w:r>
              <w:rPr>
                <w:rFonts w:hint="eastAsia"/>
                <w:sz w:val="24"/>
                <w:szCs w:val="24"/>
                <w:lang w:val="en-US" w:eastAsia="zh-CN"/>
              </w:rPr>
              <w:t>钟沛霖</w:t>
            </w:r>
          </w:p>
        </w:tc>
        <w:tc>
          <w:tcPr>
            <w:tcW w:w="1637" w:type="dxa"/>
            <w:vAlign w:val="center"/>
          </w:tcPr>
          <w:p>
            <w:pPr>
              <w:pStyle w:val="10"/>
              <w:spacing w:before="58" w:line="240" w:lineRule="auto"/>
              <w:ind w:left="142"/>
              <w:jc w:val="center"/>
              <w:rPr>
                <w:rFonts w:hint="default"/>
                <w:sz w:val="24"/>
                <w:szCs w:val="24"/>
                <w:lang w:val="en-US" w:eastAsia="zh-CN"/>
              </w:rPr>
            </w:pPr>
            <w:r>
              <w:rPr>
                <w:rFonts w:hint="eastAsia"/>
                <w:sz w:val="24"/>
                <w:szCs w:val="24"/>
                <w:lang w:val="en-US" w:eastAsia="zh-CN"/>
              </w:rPr>
              <w:t>副主任医师</w:t>
            </w:r>
          </w:p>
        </w:tc>
        <w:tc>
          <w:tcPr>
            <w:tcW w:w="5692" w:type="dxa"/>
            <w:vAlign w:val="top"/>
          </w:tcPr>
          <w:p>
            <w:pPr>
              <w:pStyle w:val="10"/>
              <w:spacing w:before="59" w:line="240" w:lineRule="auto"/>
              <w:jc w:val="left"/>
              <w:rPr>
                <w:rFonts w:hint="eastAsia"/>
                <w:sz w:val="24"/>
                <w:szCs w:val="24"/>
              </w:rPr>
            </w:pPr>
            <w:r>
              <w:rPr>
                <w:rFonts w:hint="eastAsia"/>
                <w:sz w:val="24"/>
                <w:szCs w:val="24"/>
                <w:lang w:val="en-US" w:eastAsia="zh-CN"/>
              </w:rPr>
              <w:t>主要从事宫颈癌、子宫内膜癌及卵巢癌等妇科恶性肿瘤的放射治疗、化疗、分子靶向治疗、免疫治疗及综合诊治。</w:t>
            </w:r>
          </w:p>
        </w:tc>
      </w:tr>
    </w:tbl>
    <w:p>
      <w:pPr>
        <w:spacing w:line="294" w:lineRule="auto"/>
        <w:rPr>
          <w:rFonts w:ascii="Arial"/>
          <w:sz w:val="21"/>
        </w:rPr>
      </w:pPr>
    </w:p>
    <w:p>
      <w:pPr>
        <w:spacing w:before="97" w:line="222" w:lineRule="auto"/>
        <w:rPr>
          <w:rFonts w:ascii="黑体" w:hAnsi="黑体" w:eastAsia="黑体" w:cs="黑体"/>
          <w:sz w:val="30"/>
          <w:szCs w:val="30"/>
        </w:rPr>
      </w:pPr>
      <w:bookmarkStart w:id="2" w:name="bookmark4"/>
      <w:bookmarkEnd w:id="2"/>
      <w:bookmarkStart w:id="3" w:name="bookmark3"/>
      <w:bookmarkEnd w:id="3"/>
      <w:r>
        <w:rPr>
          <w:rFonts w:ascii="黑体" w:hAnsi="黑体" w:eastAsia="黑体" w:cs="黑体"/>
          <w:b/>
          <w:bCs/>
          <w:spacing w:val="-11"/>
          <w:sz w:val="30"/>
          <w:szCs w:val="30"/>
        </w:rPr>
        <w:t>进修生招收要求：</w:t>
      </w:r>
    </w:p>
    <w:p>
      <w:pPr>
        <w:pStyle w:val="2"/>
        <w:spacing w:before="244" w:line="360" w:lineRule="auto"/>
        <w:ind w:firstLine="552" w:firstLineChars="200"/>
      </w:pPr>
      <w:r>
        <w:rPr>
          <w:spacing w:val="3"/>
        </w:rPr>
        <w:t>招收时间：20</w:t>
      </w:r>
      <w:r>
        <w:rPr>
          <w:rFonts w:hint="eastAsia"/>
          <w:spacing w:val="3"/>
          <w:lang w:val="en-US" w:eastAsia="zh-CN"/>
        </w:rPr>
        <w:t>24</w:t>
      </w:r>
      <w:r>
        <w:rPr>
          <w:spacing w:val="3"/>
        </w:rPr>
        <w:t>年</w:t>
      </w:r>
    </w:p>
    <w:p>
      <w:pPr>
        <w:pStyle w:val="2"/>
        <w:spacing w:line="360" w:lineRule="auto"/>
        <w:ind w:left="0" w:leftChars="0" w:right="0" w:firstLine="544" w:firstLineChars="200"/>
        <w:rPr>
          <w:spacing w:val="-5"/>
        </w:rPr>
      </w:pPr>
      <w:r>
        <w:rPr>
          <w:spacing w:val="1"/>
        </w:rPr>
        <w:t>条件要求(学历、年龄等):</w:t>
      </w:r>
      <w:r>
        <w:rPr>
          <w:rFonts w:hint="eastAsia"/>
          <w:spacing w:val="1"/>
          <w:lang w:val="en-US" w:eastAsia="zh-CN"/>
        </w:rPr>
        <w:t>放射治疗</w:t>
      </w:r>
      <w:r>
        <w:rPr>
          <w:spacing w:val="1"/>
        </w:rPr>
        <w:t>、临床专</w:t>
      </w:r>
      <w:r>
        <w:t>业的相关医务人员；</w:t>
      </w:r>
      <w:r>
        <w:rPr>
          <w:spacing w:val="1"/>
        </w:rPr>
        <w:t>原则上求本科以上学历(特殊情况大专学历也可),具备执业医师</w:t>
      </w:r>
      <w:r>
        <w:rPr>
          <w:spacing w:val="-5"/>
        </w:rPr>
        <w:t>资格证及注册证；</w:t>
      </w:r>
    </w:p>
    <w:p>
      <w:pPr>
        <w:pStyle w:val="2"/>
        <w:spacing w:line="360" w:lineRule="auto"/>
        <w:ind w:right="0" w:firstLine="588" w:firstLineChars="200"/>
        <w:rPr>
          <w:spacing w:val="11"/>
          <w:position w:val="22"/>
        </w:rPr>
      </w:pPr>
      <w:r>
        <w:rPr>
          <w:spacing w:val="12"/>
          <w:position w:val="22"/>
        </w:rPr>
        <w:t>进修时限:6个月</w:t>
      </w:r>
      <w:r>
        <w:rPr>
          <w:rFonts w:hint="eastAsia"/>
          <w:spacing w:val="12"/>
          <w:position w:val="22"/>
          <w:lang w:val="en-US" w:eastAsia="zh-CN"/>
        </w:rPr>
        <w:t>及</w:t>
      </w:r>
      <w:r>
        <w:rPr>
          <w:spacing w:val="12"/>
          <w:position w:val="22"/>
        </w:rPr>
        <w:t>以上</w:t>
      </w:r>
      <w:r>
        <w:rPr>
          <w:spacing w:val="11"/>
          <w:position w:val="22"/>
        </w:rPr>
        <w:t>。</w:t>
      </w:r>
    </w:p>
    <w:p>
      <w:pPr>
        <w:pStyle w:val="2"/>
        <w:spacing w:line="240" w:lineRule="auto"/>
        <w:ind w:right="0" w:firstLine="584" w:firstLineChars="200"/>
        <w:rPr>
          <w:spacing w:val="11"/>
          <w:position w:val="22"/>
        </w:rPr>
      </w:pPr>
    </w:p>
    <w:p>
      <w:pPr>
        <w:spacing w:before="1" w:line="360" w:lineRule="auto"/>
        <w:rPr>
          <w:rFonts w:ascii="黑体" w:hAnsi="黑体" w:eastAsia="黑体" w:cs="黑体"/>
          <w:sz w:val="30"/>
          <w:szCs w:val="30"/>
        </w:rPr>
      </w:pPr>
      <w:r>
        <w:rPr>
          <w:rFonts w:ascii="黑体" w:hAnsi="黑体" w:eastAsia="黑体" w:cs="黑体"/>
          <w:sz w:val="30"/>
          <w:szCs w:val="30"/>
        </w:rPr>
        <w:t>进修生培养方案：</w:t>
      </w:r>
    </w:p>
    <w:p>
      <w:pPr>
        <w:pStyle w:val="2"/>
        <w:spacing w:line="360" w:lineRule="auto"/>
        <w:ind w:left="0" w:right="0" w:firstLine="548" w:firstLineChars="200"/>
        <w:rPr>
          <w:rFonts w:hint="default" w:eastAsia="宋体"/>
          <w:lang w:val="en-US" w:eastAsia="zh-CN"/>
        </w:rPr>
      </w:pPr>
      <w:r>
        <w:rPr>
          <w:spacing w:val="2"/>
        </w:rPr>
        <w:t>培养周期6个月</w:t>
      </w:r>
      <w:r>
        <w:rPr>
          <w:rFonts w:hint="eastAsia"/>
          <w:spacing w:val="2"/>
          <w:lang w:val="en-US" w:eastAsia="zh-CN"/>
        </w:rPr>
        <w:t>及</w:t>
      </w:r>
      <w:r>
        <w:rPr>
          <w:spacing w:val="2"/>
        </w:rPr>
        <w:t>以上</w:t>
      </w:r>
      <w:r>
        <w:rPr>
          <w:spacing w:val="1"/>
        </w:rPr>
        <w:t>，岗位安排</w:t>
      </w:r>
      <w:r>
        <w:rPr>
          <w:spacing w:val="-8"/>
        </w:rPr>
        <w:t>全部安排在</w:t>
      </w:r>
      <w:r>
        <w:rPr>
          <w:rFonts w:hint="eastAsia"/>
          <w:spacing w:val="-8"/>
          <w:lang w:val="en-US" w:eastAsia="zh-CN"/>
        </w:rPr>
        <w:t>妇科放疗亚专科</w:t>
      </w:r>
      <w:r>
        <w:rPr>
          <w:spacing w:val="-8"/>
        </w:rPr>
        <w:t>，跟随带教医师每周完成</w:t>
      </w:r>
      <w:r>
        <w:rPr>
          <w:rFonts w:hint="eastAsia"/>
          <w:spacing w:val="-8"/>
          <w:lang w:val="en-US" w:eastAsia="zh-CN"/>
        </w:rPr>
        <w:t>肿瘤靶区勾画</w:t>
      </w:r>
      <w:r>
        <w:rPr>
          <w:spacing w:val="-8"/>
        </w:rPr>
        <w:t>、治疗及其</w:t>
      </w:r>
      <w:r>
        <w:rPr>
          <w:spacing w:val="-9"/>
        </w:rPr>
        <w:t>相关</w:t>
      </w:r>
      <w:r>
        <w:rPr>
          <w:spacing w:val="-6"/>
        </w:rPr>
        <w:t>检查工作。每批连同当年入科的规培生进行系列的专题讲座及疑难病</w:t>
      </w:r>
      <w:r>
        <w:rPr>
          <w:spacing w:val="-5"/>
        </w:rPr>
        <w:t>例讨论，内容覆盖本学科的理论、技术及最</w:t>
      </w:r>
      <w:r>
        <w:rPr>
          <w:spacing w:val="-6"/>
        </w:rPr>
        <w:t>新进展</w:t>
      </w:r>
      <w:r>
        <w:rPr>
          <w:rFonts w:hint="eastAsia"/>
          <w:spacing w:val="-6"/>
          <w:lang w:eastAsia="zh-CN"/>
        </w:rPr>
        <w:t>。</w:t>
      </w:r>
      <w:r>
        <w:rPr>
          <w:spacing w:val="-6"/>
        </w:rPr>
        <w:t>参加医院组织的各类学术活动。在上级医生的带领指导下，能独立进行常见疾病的</w:t>
      </w:r>
      <w:r>
        <w:rPr>
          <w:rFonts w:hint="eastAsia"/>
          <w:spacing w:val="-5"/>
          <w:lang w:val="en-US" w:eastAsia="zh-CN"/>
        </w:rPr>
        <w:t>放射治疗</w:t>
      </w:r>
      <w:r>
        <w:rPr>
          <w:spacing w:val="-5"/>
        </w:rPr>
        <w:t>，对复杂</w:t>
      </w:r>
      <w:r>
        <w:rPr>
          <w:rFonts w:hint="eastAsia"/>
          <w:spacing w:val="-5"/>
          <w:lang w:val="en-US" w:eastAsia="zh-CN"/>
        </w:rPr>
        <w:t>靶区</w:t>
      </w:r>
      <w:r>
        <w:rPr>
          <w:spacing w:val="-5"/>
        </w:rPr>
        <w:t>进行初步分析，并进行相关的临床病例总结</w:t>
      </w:r>
      <w:r>
        <w:rPr>
          <w:spacing w:val="-12"/>
        </w:rPr>
        <w:t>工作</w:t>
      </w:r>
      <w:r>
        <w:rPr>
          <w:rFonts w:hint="eastAsia"/>
          <w:spacing w:val="-12"/>
          <w:lang w:val="en-US" w:eastAsia="zh-CN"/>
        </w:rPr>
        <w:t>及科研工作。</w:t>
      </w:r>
    </w:p>
    <w:p>
      <w:pPr>
        <w:spacing w:line="360"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58" w:line="219" w:lineRule="auto"/>
        <w:rPr>
          <w:spacing w:val="-7"/>
          <w:sz w:val="18"/>
          <w:szCs w:val="18"/>
        </w:rPr>
      </w:pPr>
    </w:p>
    <w:p>
      <w:pPr>
        <w:pStyle w:val="2"/>
        <w:spacing w:before="58" w:line="219" w:lineRule="auto"/>
        <w:rPr>
          <w:spacing w:val="-7"/>
          <w:sz w:val="18"/>
          <w:szCs w:val="18"/>
        </w:rPr>
      </w:pPr>
    </w:p>
    <w:p>
      <w:pPr>
        <w:pStyle w:val="2"/>
        <w:spacing w:before="62" w:line="219" w:lineRule="auto"/>
        <w:rPr>
          <w:rFonts w:ascii="黑体" w:hAnsi="黑体" w:eastAsia="黑体" w:cs="黑体"/>
          <w:snapToGrid w:val="0"/>
          <w:color w:val="000000"/>
          <w:kern w:val="0"/>
          <w:sz w:val="30"/>
          <w:szCs w:val="30"/>
          <w:lang w:val="en-US" w:eastAsia="en-US" w:bidi="ar-SA"/>
        </w:rPr>
      </w:pPr>
      <w:r>
        <w:rPr>
          <w:rFonts w:ascii="黑体" w:hAnsi="黑体" w:eastAsia="黑体" w:cs="黑体"/>
          <w:snapToGrid w:val="0"/>
          <w:color w:val="000000"/>
          <w:kern w:val="0"/>
          <w:sz w:val="30"/>
          <w:szCs w:val="30"/>
          <w:lang w:val="en-US" w:eastAsia="en-US" w:bidi="ar-SA"/>
        </w:rPr>
        <w:t>培养内容(六个月</w:t>
      </w:r>
      <w:r>
        <w:rPr>
          <w:rFonts w:hint="eastAsia" w:ascii="黑体" w:hAnsi="黑体" w:eastAsia="黑体" w:cs="黑体"/>
          <w:snapToGrid w:val="0"/>
          <w:color w:val="000000"/>
          <w:kern w:val="0"/>
          <w:sz w:val="30"/>
          <w:szCs w:val="30"/>
          <w:lang w:val="en-US" w:eastAsia="zh-CN" w:bidi="ar-SA"/>
        </w:rPr>
        <w:t>至一年</w:t>
      </w:r>
      <w:r>
        <w:rPr>
          <w:rFonts w:ascii="黑体" w:hAnsi="黑体" w:eastAsia="黑体" w:cs="黑体"/>
          <w:snapToGrid w:val="0"/>
          <w:color w:val="000000"/>
          <w:kern w:val="0"/>
          <w:sz w:val="30"/>
          <w:szCs w:val="30"/>
          <w:lang w:val="en-US" w:eastAsia="en-US" w:bidi="ar-SA"/>
        </w:rPr>
        <w:t>)</w:t>
      </w:r>
    </w:p>
    <w:p>
      <w:pPr>
        <w:spacing w:line="148" w:lineRule="exact"/>
      </w:pPr>
    </w:p>
    <w:tbl>
      <w:tblPr>
        <w:tblStyle w:val="9"/>
        <w:tblW w:w="93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
        <w:gridCol w:w="2429"/>
        <w:gridCol w:w="1909"/>
        <w:gridCol w:w="3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11" w:type="dxa"/>
            <w:vAlign w:val="top"/>
          </w:tcPr>
          <w:p>
            <w:pPr>
              <w:pStyle w:val="10"/>
              <w:spacing w:before="170" w:line="219" w:lineRule="auto"/>
              <w:jc w:val="center"/>
              <w:rPr>
                <w:rFonts w:hint="default" w:eastAsia="宋体"/>
                <w:b/>
                <w:bCs/>
                <w:spacing w:val="-4"/>
                <w:sz w:val="28"/>
                <w:szCs w:val="28"/>
                <w:lang w:val="en-US" w:eastAsia="zh-CN"/>
              </w:rPr>
            </w:pPr>
            <w:r>
              <w:rPr>
                <w:rFonts w:hint="eastAsia"/>
                <w:b/>
                <w:bCs/>
                <w:spacing w:val="-4"/>
                <w:sz w:val="28"/>
                <w:szCs w:val="28"/>
                <w:lang w:val="en-US" w:eastAsia="zh-CN"/>
              </w:rPr>
              <w:t>主题</w:t>
            </w:r>
          </w:p>
        </w:tc>
        <w:tc>
          <w:tcPr>
            <w:tcW w:w="2429" w:type="dxa"/>
            <w:vAlign w:val="top"/>
          </w:tcPr>
          <w:p>
            <w:pPr>
              <w:pStyle w:val="10"/>
              <w:spacing w:before="170" w:line="219" w:lineRule="auto"/>
              <w:jc w:val="center"/>
              <w:rPr>
                <w:b/>
                <w:bCs/>
                <w:sz w:val="28"/>
                <w:szCs w:val="28"/>
              </w:rPr>
            </w:pPr>
            <w:r>
              <w:rPr>
                <w:b/>
                <w:bCs/>
                <w:spacing w:val="-4"/>
                <w:sz w:val="28"/>
                <w:szCs w:val="28"/>
              </w:rPr>
              <w:t>培训内容</w:t>
            </w:r>
          </w:p>
        </w:tc>
        <w:tc>
          <w:tcPr>
            <w:tcW w:w="1909" w:type="dxa"/>
            <w:vAlign w:val="top"/>
          </w:tcPr>
          <w:p>
            <w:pPr>
              <w:pStyle w:val="10"/>
              <w:spacing w:before="174" w:line="220" w:lineRule="auto"/>
              <w:jc w:val="center"/>
              <w:rPr>
                <w:b/>
                <w:bCs/>
                <w:sz w:val="28"/>
                <w:szCs w:val="28"/>
              </w:rPr>
            </w:pPr>
            <w:r>
              <w:rPr>
                <w:b/>
                <w:bCs/>
                <w:spacing w:val="-2"/>
                <w:sz w:val="28"/>
                <w:szCs w:val="28"/>
              </w:rPr>
              <w:t>预期目标</w:t>
            </w:r>
          </w:p>
        </w:tc>
        <w:tc>
          <w:tcPr>
            <w:tcW w:w="3962" w:type="dxa"/>
            <w:vAlign w:val="top"/>
          </w:tcPr>
          <w:p>
            <w:pPr>
              <w:pStyle w:val="10"/>
              <w:spacing w:before="174" w:line="220" w:lineRule="auto"/>
              <w:jc w:val="center"/>
              <w:rPr>
                <w:b/>
                <w:bCs/>
                <w:sz w:val="28"/>
                <w:szCs w:val="28"/>
              </w:rPr>
            </w:pPr>
            <w:r>
              <w:rPr>
                <w:b/>
                <w:bCs/>
                <w:spacing w:val="-2"/>
                <w:sz w:val="28"/>
                <w:szCs w:val="28"/>
              </w:rPr>
              <w:t>培训形式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1011"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理论</w:t>
            </w:r>
          </w:p>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学习</w:t>
            </w:r>
          </w:p>
        </w:tc>
        <w:tc>
          <w:tcPr>
            <w:tcW w:w="2429" w:type="dxa"/>
            <w:vAlign w:val="center"/>
          </w:tcPr>
          <w:p>
            <w:pPr>
              <w:pStyle w:val="10"/>
              <w:spacing w:before="69"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妇科</w:t>
            </w:r>
            <w:r>
              <w:rPr>
                <w:rFonts w:hint="eastAsia" w:asciiTheme="minorEastAsia" w:hAnsiTheme="minorEastAsia" w:eastAsiaTheme="minorEastAsia" w:cstheme="minorEastAsia"/>
                <w:i w:val="0"/>
                <w:iCs w:val="0"/>
                <w:caps w:val="0"/>
                <w:color w:val="333333"/>
                <w:spacing w:val="0"/>
                <w:sz w:val="21"/>
                <w:szCs w:val="21"/>
                <w:shd w:val="clear" w:fill="FFFFFF"/>
              </w:rPr>
              <w:t>放疗科常见恶性肿瘤（</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宫颈癌</w:t>
            </w:r>
            <w:r>
              <w:rPr>
                <w:rFonts w:hint="eastAsia" w:asciiTheme="minorEastAsia" w:hAnsiTheme="minorEastAsia" w:eastAsiaTheme="minorEastAsia" w:cstheme="minorEastAsia"/>
                <w:i w:val="0"/>
                <w:iCs w:val="0"/>
                <w:caps w:val="0"/>
                <w:color w:val="333333"/>
                <w:spacing w:val="0"/>
                <w:sz w:val="21"/>
                <w:szCs w:val="21"/>
                <w:shd w:val="clear" w:fill="FFFFFF"/>
              </w:rPr>
              <w:t>、</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子宫内膜</w:t>
            </w:r>
            <w:r>
              <w:rPr>
                <w:rFonts w:hint="eastAsia" w:asciiTheme="minorEastAsia" w:hAnsiTheme="minorEastAsia" w:eastAsiaTheme="minorEastAsia" w:cstheme="minorEastAsia"/>
                <w:i w:val="0"/>
                <w:iCs w:val="0"/>
                <w:caps w:val="0"/>
                <w:color w:val="333333"/>
                <w:spacing w:val="0"/>
                <w:sz w:val="21"/>
                <w:szCs w:val="21"/>
                <w:shd w:val="clear" w:fill="FFFFFF"/>
              </w:rPr>
              <w:t>、</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阴道癌</w:t>
            </w:r>
            <w:r>
              <w:rPr>
                <w:rFonts w:hint="eastAsia" w:asciiTheme="minorEastAsia" w:hAnsiTheme="minorEastAsia" w:eastAsiaTheme="minorEastAsia" w:cstheme="minorEastAsia"/>
                <w:i w:val="0"/>
                <w:iCs w:val="0"/>
                <w:caps w:val="0"/>
                <w:color w:val="333333"/>
                <w:spacing w:val="0"/>
                <w:sz w:val="21"/>
                <w:szCs w:val="21"/>
                <w:shd w:val="clear" w:fill="FFFFFF"/>
              </w:rPr>
              <w:t>、</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外阴</w:t>
            </w:r>
            <w:r>
              <w:rPr>
                <w:rFonts w:hint="eastAsia" w:asciiTheme="minorEastAsia" w:hAnsiTheme="minorEastAsia" w:eastAsiaTheme="minorEastAsia" w:cstheme="minorEastAsia"/>
                <w:i w:val="0"/>
                <w:iCs w:val="0"/>
                <w:caps w:val="0"/>
                <w:color w:val="333333"/>
                <w:spacing w:val="0"/>
                <w:sz w:val="21"/>
                <w:szCs w:val="21"/>
                <w:shd w:val="clear" w:fill="FFFFFF"/>
              </w:rPr>
              <w:t>癌等）的临床特点，诊断标准，综合治疗原则，放射治疗原则和适应症。</w:t>
            </w:r>
          </w:p>
        </w:tc>
        <w:tc>
          <w:tcPr>
            <w:tcW w:w="1909" w:type="dxa"/>
            <w:vAlign w:val="center"/>
          </w:tcPr>
          <w:p>
            <w:pPr>
              <w:pStyle w:val="10"/>
              <w:spacing w:before="69" w:line="360" w:lineRule="auto"/>
              <w:ind w:right="193"/>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fill="FFFFFF"/>
              </w:rPr>
              <w:t>掌握</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常见妇科恶性肿瘤</w:t>
            </w:r>
            <w:r>
              <w:rPr>
                <w:rFonts w:hint="eastAsia" w:asciiTheme="minorEastAsia" w:hAnsiTheme="minorEastAsia" w:eastAsiaTheme="minorEastAsia" w:cstheme="minorEastAsia"/>
                <w:i w:val="0"/>
                <w:iCs w:val="0"/>
                <w:caps w:val="0"/>
                <w:color w:val="333333"/>
                <w:spacing w:val="0"/>
                <w:sz w:val="21"/>
                <w:szCs w:val="21"/>
                <w:shd w:val="clear" w:fill="FFFFFF"/>
              </w:rPr>
              <w:t>治疗原则，治疗规范；放疗适应症、禁忌症</w:t>
            </w:r>
          </w:p>
          <w:p>
            <w:pPr>
              <w:pStyle w:val="10"/>
              <w:spacing w:before="69" w:line="360" w:lineRule="auto"/>
              <w:ind w:left="192" w:right="193"/>
              <w:jc w:val="left"/>
              <w:rPr>
                <w:rFonts w:hint="eastAsia" w:asciiTheme="minorEastAsia" w:hAnsiTheme="minorEastAsia" w:eastAsiaTheme="minorEastAsia" w:cstheme="minorEastAsia"/>
                <w:sz w:val="21"/>
                <w:szCs w:val="21"/>
              </w:rPr>
            </w:pPr>
          </w:p>
          <w:p>
            <w:pPr>
              <w:pStyle w:val="10"/>
              <w:spacing w:before="69" w:line="360" w:lineRule="auto"/>
              <w:ind w:left="192" w:right="193"/>
              <w:jc w:val="left"/>
              <w:rPr>
                <w:rFonts w:hint="eastAsia" w:asciiTheme="minorEastAsia" w:hAnsiTheme="minorEastAsia" w:eastAsiaTheme="minorEastAsia" w:cstheme="minorEastAsia"/>
                <w:sz w:val="21"/>
                <w:szCs w:val="21"/>
              </w:rPr>
            </w:pPr>
          </w:p>
          <w:p>
            <w:pPr>
              <w:pStyle w:val="10"/>
              <w:spacing w:before="69" w:line="360" w:lineRule="auto"/>
              <w:ind w:right="193"/>
              <w:jc w:val="left"/>
              <w:rPr>
                <w:rFonts w:hint="eastAsia" w:asciiTheme="minorEastAsia" w:hAnsiTheme="minorEastAsia" w:eastAsiaTheme="minorEastAsia" w:cstheme="minorEastAsia"/>
                <w:sz w:val="21"/>
                <w:szCs w:val="21"/>
              </w:rPr>
            </w:pPr>
          </w:p>
        </w:tc>
        <w:tc>
          <w:tcPr>
            <w:tcW w:w="3962" w:type="dxa"/>
            <w:vAlign w:val="center"/>
          </w:tcPr>
          <w:p>
            <w:pPr>
              <w:pStyle w:val="10"/>
              <w:spacing w:before="61"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1.以《肿瘤放射治疗学》《</w:t>
            </w:r>
            <w:r>
              <w:rPr>
                <w:rFonts w:hint="eastAsia" w:asciiTheme="minorEastAsia" w:hAnsiTheme="minorEastAsia" w:eastAsiaTheme="minorEastAsia" w:cstheme="minorEastAsia"/>
                <w:sz w:val="21"/>
                <w:szCs w:val="21"/>
                <w:lang w:val="en-US" w:eastAsia="zh-CN"/>
              </w:rPr>
              <w:t>林巧稚妇科肿瘤学</w:t>
            </w:r>
            <w:r>
              <w:rPr>
                <w:rFonts w:hint="eastAsia" w:asciiTheme="minorEastAsia" w:hAnsiTheme="minorEastAsia" w:eastAsiaTheme="minorEastAsia" w:cstheme="minorEastAsia"/>
                <w:sz w:val="21"/>
                <w:szCs w:val="21"/>
              </w:rPr>
              <w:t>》为基本教材。</w:t>
            </w:r>
          </w:p>
          <w:p>
            <w:pPr>
              <w:pStyle w:val="10"/>
              <w:spacing w:before="61"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2.教师示范及实践操作。</w:t>
            </w:r>
          </w:p>
          <w:p>
            <w:pPr>
              <w:pStyle w:val="10"/>
              <w:spacing w:before="61"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3.结合临床进行病例分析。</w:t>
            </w:r>
          </w:p>
          <w:p>
            <w:pPr>
              <w:pStyle w:val="10"/>
              <w:spacing w:before="61"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4.专题讲座。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1011" w:type="dxa"/>
            <w:vMerge w:val="restart"/>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临床</w:t>
            </w:r>
          </w:p>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操作</w:t>
            </w:r>
          </w:p>
        </w:tc>
        <w:tc>
          <w:tcPr>
            <w:tcW w:w="2429"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放疗靶区勾画、计划制定、计划评估，各种常见</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妇科恶性</w:t>
            </w:r>
            <w:r>
              <w:rPr>
                <w:rFonts w:hint="eastAsia" w:asciiTheme="minorEastAsia" w:hAnsiTheme="minorEastAsia" w:eastAsiaTheme="minorEastAsia" w:cstheme="minorEastAsia"/>
                <w:i w:val="0"/>
                <w:iCs w:val="0"/>
                <w:caps w:val="0"/>
                <w:color w:val="333333"/>
                <w:spacing w:val="0"/>
                <w:sz w:val="21"/>
                <w:szCs w:val="21"/>
                <w:shd w:val="clear" w:fill="FFFFFF"/>
              </w:rPr>
              <w:t>肿瘤NCCN治疗指南临床应用原则</w:t>
            </w:r>
          </w:p>
        </w:tc>
        <w:tc>
          <w:tcPr>
            <w:tcW w:w="1909"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放疗计划制定，肿瘤相关急症的观察检测和处理</w:t>
            </w:r>
          </w:p>
        </w:tc>
        <w:tc>
          <w:tcPr>
            <w:tcW w:w="3962"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1.以《</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肿瘤放射治疗学</w:t>
            </w:r>
            <w:r>
              <w:rPr>
                <w:rFonts w:hint="eastAsia" w:asciiTheme="minorEastAsia" w:hAnsiTheme="minorEastAsia" w:eastAsiaTheme="minorEastAsia" w:cstheme="minorEastAsia"/>
                <w:i w:val="0"/>
                <w:iCs w:val="0"/>
                <w:caps w:val="0"/>
                <w:color w:val="333333"/>
                <w:spacing w:val="0"/>
                <w:sz w:val="21"/>
                <w:szCs w:val="21"/>
                <w:shd w:val="clear" w:fill="FFFFFF"/>
              </w:rPr>
              <w:t>》</w:t>
            </w:r>
            <w:r>
              <w:rPr>
                <w:rFonts w:hint="eastAsia" w:asciiTheme="minorEastAsia" w:hAnsiTheme="minorEastAsia" w:eastAsiaTheme="minorEastAsia" w:cstheme="minorEastAsia"/>
                <w:sz w:val="21"/>
                <w:szCs w:val="21"/>
              </w:rPr>
              <w:t>《肿瘤</w:t>
            </w:r>
            <w:r>
              <w:rPr>
                <w:rFonts w:hint="eastAsia" w:asciiTheme="minorEastAsia" w:hAnsiTheme="minorEastAsia" w:eastAsiaTheme="minorEastAsia" w:cstheme="minorEastAsia"/>
                <w:sz w:val="21"/>
                <w:szCs w:val="21"/>
                <w:lang w:val="en-US" w:eastAsia="zh-CN"/>
              </w:rPr>
              <w:t>精准</w:t>
            </w:r>
            <w:r>
              <w:rPr>
                <w:rFonts w:hint="eastAsia" w:asciiTheme="minorEastAsia" w:hAnsiTheme="minorEastAsia" w:eastAsiaTheme="minorEastAsia" w:cstheme="minorEastAsia"/>
                <w:sz w:val="21"/>
                <w:szCs w:val="21"/>
              </w:rPr>
              <w:t>放射治疗</w:t>
            </w:r>
            <w:r>
              <w:rPr>
                <w:rFonts w:hint="eastAsia" w:asciiTheme="minorEastAsia" w:hAnsiTheme="minorEastAsia" w:eastAsiaTheme="minorEastAsia" w:cstheme="minorEastAsia"/>
                <w:sz w:val="21"/>
                <w:szCs w:val="21"/>
                <w:lang w:val="en-US" w:eastAsia="zh-CN"/>
              </w:rPr>
              <w:t>靶区勾画丛书妇科肿瘤</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aps w:val="0"/>
                <w:color w:val="333333"/>
                <w:spacing w:val="0"/>
                <w:sz w:val="21"/>
                <w:szCs w:val="21"/>
                <w:shd w:val="clear" w:fill="FFFFFF"/>
              </w:rPr>
              <w:t>为基本教材教学。</w:t>
            </w: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2.教师示范及实践操作。</w:t>
            </w: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rPr>
              <w:t>3.专题讲座。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1011" w:type="dxa"/>
            <w:vMerge w:val="continue"/>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p>
        </w:tc>
        <w:tc>
          <w:tcPr>
            <w:tcW w:w="2429" w:type="dxa"/>
            <w:vAlign w:val="center"/>
          </w:tcPr>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二维后装放疗、影像引导的三维后装放疗的原理及操作流程</w:t>
            </w:r>
          </w:p>
        </w:tc>
        <w:tc>
          <w:tcPr>
            <w:tcW w:w="1909" w:type="dxa"/>
            <w:vAlign w:val="center"/>
          </w:tcPr>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了解后装治疗原理，熟悉二维、三维后装治疗流程，能独立操作二维后装治疗</w:t>
            </w:r>
          </w:p>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p>
        </w:tc>
        <w:tc>
          <w:tcPr>
            <w:tcW w:w="3962" w:type="dxa"/>
            <w:vAlign w:val="center"/>
          </w:tcPr>
          <w:p>
            <w:pPr>
              <w:pStyle w:val="10"/>
              <w:numPr>
                <w:ilvl w:val="0"/>
                <w:numId w:val="1"/>
              </w:numPr>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以ICUR 89号文件为参考材料</w:t>
            </w:r>
          </w:p>
          <w:p>
            <w:pPr>
              <w:pStyle w:val="10"/>
              <w:numPr>
                <w:ilvl w:val="0"/>
                <w:numId w:val="1"/>
              </w:numPr>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以科内小讲课的形式进行理论授课</w:t>
            </w:r>
          </w:p>
          <w:p>
            <w:pPr>
              <w:pStyle w:val="10"/>
              <w:numPr>
                <w:ilvl w:val="0"/>
                <w:numId w:val="0"/>
              </w:numPr>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333333"/>
                <w:spacing w:val="0"/>
                <w:sz w:val="21"/>
                <w:szCs w:val="21"/>
                <w:shd w:val="clear" w:fill="FFFFFF"/>
              </w:rPr>
              <w:t>.教师</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操作</w:t>
            </w:r>
            <w:r>
              <w:rPr>
                <w:rFonts w:hint="eastAsia" w:asciiTheme="minorEastAsia" w:hAnsiTheme="minorEastAsia" w:eastAsiaTheme="minorEastAsia" w:cstheme="minorEastAsia"/>
                <w:i w:val="0"/>
                <w:iCs w:val="0"/>
                <w:caps w:val="0"/>
                <w:color w:val="333333"/>
                <w:spacing w:val="0"/>
                <w:sz w:val="21"/>
                <w:szCs w:val="21"/>
                <w:shd w:val="clear" w:fill="FFFFFF"/>
              </w:rPr>
              <w:t>示范</w:t>
            </w: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讲授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011"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科研</w:t>
            </w:r>
          </w:p>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培训</w:t>
            </w:r>
          </w:p>
        </w:tc>
        <w:tc>
          <w:tcPr>
            <w:tcW w:w="2429"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妇科恶性肿瘤放射治疗学新进展</w:t>
            </w:r>
          </w:p>
        </w:tc>
        <w:tc>
          <w:tcPr>
            <w:tcW w:w="1909" w:type="dxa"/>
            <w:vAlign w:val="center"/>
          </w:tcPr>
          <w:p>
            <w:pPr>
              <w:pStyle w:val="10"/>
              <w:spacing w:before="69" w:line="360" w:lineRule="auto"/>
              <w:jc w:val="left"/>
              <w:rPr>
                <w:rFonts w:hint="eastAsia"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具备一定阅读外文文献集科研能力</w:t>
            </w:r>
          </w:p>
        </w:tc>
        <w:tc>
          <w:tcPr>
            <w:tcW w:w="3962" w:type="dxa"/>
            <w:vAlign w:val="center"/>
          </w:tcPr>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1.参与科室定期文献学习、解读</w:t>
            </w:r>
          </w:p>
          <w:p>
            <w:pPr>
              <w:pStyle w:val="10"/>
              <w:spacing w:before="69" w:line="360" w:lineRule="auto"/>
              <w:jc w:val="left"/>
              <w:rPr>
                <w:rFonts w:hint="default" w:asciiTheme="minorEastAsia" w:hAnsiTheme="minorEastAsia" w:eastAsiaTheme="minorEastAsia" w:cstheme="minorEastAsia"/>
                <w:i w:val="0"/>
                <w:iCs w:val="0"/>
                <w:caps w:val="0"/>
                <w:color w:val="333333"/>
                <w:spacing w:val="0"/>
                <w:sz w:val="21"/>
                <w:szCs w:val="21"/>
                <w:shd w:val="clear" w:fill="FFFFFF"/>
                <w:lang w:val="en-US" w:eastAsia="zh-CN"/>
              </w:rPr>
            </w:pPr>
            <w:r>
              <w:rPr>
                <w:rFonts w:hint="eastAsia" w:asciiTheme="minorEastAsia" w:hAnsiTheme="minorEastAsia" w:eastAsiaTheme="minorEastAsia" w:cstheme="minorEastAsia"/>
                <w:i w:val="0"/>
                <w:iCs w:val="0"/>
                <w:caps w:val="0"/>
                <w:color w:val="333333"/>
                <w:spacing w:val="0"/>
                <w:sz w:val="21"/>
                <w:szCs w:val="21"/>
                <w:shd w:val="clear" w:fill="FFFFFF"/>
                <w:lang w:val="en-US" w:eastAsia="zh-CN"/>
              </w:rPr>
              <w:t>2.参与教学查房。</w:t>
            </w:r>
          </w:p>
        </w:tc>
      </w:tr>
    </w:tbl>
    <w:p>
      <w:pPr>
        <w:rPr>
          <w:rFonts w:ascii="Arial"/>
          <w:sz w:val="21"/>
        </w:rPr>
      </w:pPr>
    </w:p>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ectPr>
          <w:footerReference r:id="rId6" w:type="default"/>
          <w:pgSz w:w="12060" w:h="16950"/>
          <w:pgMar w:top="1378" w:right="1378" w:bottom="1378" w:left="1378" w:header="0" w:footer="0" w:gutter="0"/>
          <w:pgNumType w:fmt="decimal"/>
          <w:cols w:equalWidth="0" w:num="1">
            <w:col w:w="9977"/>
          </w:cols>
        </w:sectPr>
      </w:pPr>
    </w:p>
    <w:p>
      <w:pPr>
        <w:pStyle w:val="2"/>
        <w:spacing w:before="55" w:line="219" w:lineRule="auto"/>
        <w:rPr>
          <w:spacing w:val="-7"/>
          <w:sz w:val="17"/>
          <w:szCs w:val="17"/>
        </w:rPr>
      </w:pPr>
    </w:p>
    <w:p>
      <w:pPr>
        <w:spacing w:line="670" w:lineRule="exact"/>
        <w:sectPr>
          <w:pgSz w:w="11900" w:h="16840"/>
          <w:pgMar w:top="1299" w:right="250" w:bottom="170" w:left="1614" w:header="0" w:footer="0" w:gutter="0"/>
          <w:pgNumType w:fmt="decimal"/>
          <w:cols w:space="720" w:num="1"/>
        </w:sectPr>
      </w:pPr>
    </w:p>
    <w:p>
      <w:pPr>
        <w:spacing w:before="213" w:line="680" w:lineRule="exact"/>
        <w:ind w:left="52"/>
        <w:rPr>
          <w:rFonts w:ascii="黑体" w:hAnsi="黑体" w:eastAsia="黑体" w:cs="黑体"/>
          <w:sz w:val="32"/>
          <w:szCs w:val="32"/>
        </w:rPr>
      </w:pPr>
      <w:bookmarkStart w:id="4" w:name="bookmark7"/>
      <w:bookmarkEnd w:id="4"/>
      <w:bookmarkStart w:id="5" w:name="bookmark8"/>
      <w:bookmarkEnd w:id="5"/>
      <w:bookmarkStart w:id="6" w:name="bookmark6"/>
      <w:bookmarkEnd w:id="6"/>
      <w:bookmarkStart w:id="7" w:name="bookmark5"/>
      <w:bookmarkEnd w:id="7"/>
      <w:r>
        <w:rPr>
          <w:rFonts w:ascii="黑体" w:hAnsi="黑体" w:eastAsia="黑体" w:cs="黑体"/>
          <w:b/>
          <w:bCs/>
          <w:spacing w:val="-18"/>
          <w:position w:val="27"/>
          <w:sz w:val="32"/>
          <w:szCs w:val="32"/>
        </w:rPr>
        <w:t>进修生培养计划：</w:t>
      </w:r>
    </w:p>
    <w:p>
      <w:pPr>
        <w:pStyle w:val="2"/>
        <w:spacing w:line="218" w:lineRule="auto"/>
        <w:ind w:left="51"/>
      </w:pPr>
      <w:r>
        <w:rPr>
          <w:b/>
          <w:bCs/>
          <w:spacing w:val="-7"/>
        </w:rPr>
        <w:t>一</w:t>
      </w:r>
      <w:r>
        <w:rPr>
          <w:spacing w:val="-71"/>
        </w:rPr>
        <w:t xml:space="preserve"> </w:t>
      </w:r>
      <w:r>
        <w:rPr>
          <w:b/>
          <w:bCs/>
          <w:spacing w:val="-7"/>
        </w:rPr>
        <w:t>、</w:t>
      </w:r>
      <w:r>
        <w:rPr>
          <w:spacing w:val="69"/>
        </w:rPr>
        <w:t xml:space="preserve"> </w:t>
      </w:r>
      <w:r>
        <w:rPr>
          <w:b/>
          <w:bCs/>
          <w:spacing w:val="-7"/>
        </w:rPr>
        <w:t>入科教育</w:t>
      </w:r>
    </w:p>
    <w:p>
      <w:pPr>
        <w:pStyle w:val="2"/>
        <w:spacing w:before="304" w:line="590" w:lineRule="exact"/>
        <w:ind w:left="588"/>
      </w:pPr>
      <w:r>
        <w:rPr>
          <w:spacing w:val="-7"/>
          <w:position w:val="24"/>
        </w:rPr>
        <w:t>1. 进行重要医疗法规的宣传教育，包括《执业医师法》、《医疗</w:t>
      </w:r>
    </w:p>
    <w:p>
      <w:pPr>
        <w:pStyle w:val="2"/>
        <w:spacing w:line="219" w:lineRule="auto"/>
        <w:ind w:left="47"/>
      </w:pPr>
      <w:r>
        <w:rPr>
          <w:spacing w:val="-3"/>
        </w:rPr>
        <w:t>事故处理条例》及相关细则等；</w:t>
      </w:r>
    </w:p>
    <w:p>
      <w:pPr>
        <w:pStyle w:val="2"/>
        <w:spacing w:before="259" w:line="599" w:lineRule="exact"/>
        <w:ind w:left="588"/>
      </w:pPr>
      <w:r>
        <w:rPr>
          <w:spacing w:val="8"/>
          <w:position w:val="25"/>
        </w:rPr>
        <w:t>2. 科室的基本情况及规章制度(查对制度、危急值制度、医疗</w:t>
      </w:r>
    </w:p>
    <w:p>
      <w:pPr>
        <w:pStyle w:val="2"/>
        <w:spacing w:before="1" w:line="217" w:lineRule="auto"/>
        <w:ind w:left="47"/>
      </w:pPr>
      <w:r>
        <w:rPr>
          <w:spacing w:val="1"/>
        </w:rPr>
        <w:t>差错与安全不良事件报告及奖惩、培训、请假等事宜);</w:t>
      </w:r>
    </w:p>
    <w:p>
      <w:pPr>
        <w:pStyle w:val="2"/>
        <w:spacing w:before="284" w:line="219" w:lineRule="auto"/>
        <w:ind w:left="588"/>
      </w:pPr>
      <w:r>
        <w:t>3. 仪器设备的使用规范及注意事项；</w:t>
      </w:r>
    </w:p>
    <w:p>
      <w:pPr>
        <w:pStyle w:val="2"/>
        <w:spacing w:before="280" w:line="587" w:lineRule="exact"/>
        <w:ind w:left="588"/>
      </w:pPr>
      <w:r>
        <w:rPr>
          <w:spacing w:val="1"/>
          <w:position w:val="24"/>
        </w:rPr>
        <w:t>4. 医疗工作中医患关系的妥善处理及需要注意的问题；</w:t>
      </w:r>
    </w:p>
    <w:p>
      <w:pPr>
        <w:pStyle w:val="2"/>
        <w:spacing w:before="272" w:line="611" w:lineRule="exact"/>
        <w:ind w:left="588"/>
      </w:pPr>
      <w:r>
        <w:rPr>
          <w:spacing w:val="1"/>
          <w:position w:val="26"/>
        </w:rPr>
        <w:t>务必使进修医师能彻底理解相关法规，做到</w:t>
      </w:r>
      <w:r>
        <w:rPr>
          <w:position w:val="26"/>
        </w:rPr>
        <w:t>依法行医，加强自我</w:t>
      </w:r>
    </w:p>
    <w:p>
      <w:pPr>
        <w:pStyle w:val="2"/>
        <w:spacing w:line="219" w:lineRule="auto"/>
        <w:ind w:left="47"/>
      </w:pPr>
      <w:r>
        <w:rPr>
          <w:spacing w:val="2"/>
        </w:rPr>
        <w:t>保护，培养进修医师严格按照常规办事的概念。</w:t>
      </w:r>
    </w:p>
    <w:p>
      <w:pPr>
        <w:pStyle w:val="2"/>
        <w:spacing w:before="254" w:line="219" w:lineRule="auto"/>
        <w:ind w:left="51"/>
        <w:outlineLvl w:val="0"/>
      </w:pPr>
      <w:r>
        <w:rPr>
          <w:b/>
          <w:bCs/>
          <w:spacing w:val="-14"/>
        </w:rPr>
        <w:t>二、</w:t>
      </w:r>
      <w:r>
        <w:rPr>
          <w:spacing w:val="92"/>
        </w:rPr>
        <w:t xml:space="preserve"> </w:t>
      </w:r>
      <w:r>
        <w:rPr>
          <w:b/>
          <w:bCs/>
          <w:spacing w:val="-14"/>
        </w:rPr>
        <w:t>考勤管理</w:t>
      </w:r>
    </w:p>
    <w:p>
      <w:pPr>
        <w:pStyle w:val="2"/>
        <w:spacing w:before="295" w:line="417" w:lineRule="auto"/>
        <w:ind w:left="47" w:right="1580" w:firstLine="540"/>
      </w:pPr>
      <w:r>
        <w:rPr>
          <w:spacing w:val="1"/>
        </w:rPr>
        <w:t>科室</w:t>
      </w:r>
      <w:r>
        <w:rPr>
          <w:rFonts w:hint="eastAsia"/>
          <w:spacing w:val="1"/>
          <w:lang w:val="en-US" w:eastAsia="zh-CN"/>
        </w:rPr>
        <w:t>进修生管理员</w:t>
      </w:r>
      <w:r>
        <w:rPr>
          <w:spacing w:val="1"/>
        </w:rPr>
        <w:t>做好进修生登记工作。原则上</w:t>
      </w:r>
      <w:r>
        <w:t xml:space="preserve">不允许中途回原单位 </w:t>
      </w:r>
      <w:r>
        <w:rPr>
          <w:spacing w:val="1"/>
        </w:rPr>
        <w:t>或家乡。特殊情况确有需要者，需填写进修人员培训考核记录手册中</w:t>
      </w:r>
      <w:r>
        <w:rPr>
          <w:spacing w:val="8"/>
        </w:rPr>
        <w:t xml:space="preserve"> </w:t>
      </w:r>
      <w:r>
        <w:rPr>
          <w:spacing w:val="1"/>
        </w:rPr>
        <w:t>的请假单，根据要求程序进行申请，并附有关证明文件之原件备案，</w:t>
      </w:r>
    </w:p>
    <w:p>
      <w:pPr>
        <w:pStyle w:val="2"/>
        <w:spacing w:before="1" w:line="218" w:lineRule="auto"/>
        <w:ind w:left="47"/>
      </w:pPr>
      <w:r>
        <w:t>经同意后方可准假，并应在规定时间内返回。</w:t>
      </w:r>
    </w:p>
    <w:p>
      <w:pPr>
        <w:pStyle w:val="2"/>
        <w:spacing w:before="310" w:line="620" w:lineRule="exact"/>
        <w:ind w:left="588"/>
      </w:pPr>
      <w:r>
        <w:rPr>
          <w:spacing w:val="3"/>
          <w:position w:val="26"/>
        </w:rPr>
        <w:t>进修生接受</w:t>
      </w:r>
      <w:r>
        <w:rPr>
          <w:rFonts w:hint="eastAsia"/>
          <w:spacing w:val="3"/>
          <w:position w:val="26"/>
          <w:lang w:val="en-US" w:eastAsia="zh-CN"/>
        </w:rPr>
        <w:t>教育处</w:t>
      </w:r>
      <w:r>
        <w:rPr>
          <w:spacing w:val="3"/>
          <w:position w:val="26"/>
        </w:rPr>
        <w:t>查岗，凡未办理请假手续私自旷工超过两次的</w:t>
      </w:r>
    </w:p>
    <w:p>
      <w:pPr>
        <w:pStyle w:val="2"/>
        <w:spacing w:before="1" w:line="218" w:lineRule="auto"/>
        <w:ind w:left="47"/>
      </w:pPr>
      <w:r>
        <w:rPr>
          <w:spacing w:val="-2"/>
        </w:rPr>
        <w:t>将报大科秘书，申请取消进修资格。</w:t>
      </w:r>
    </w:p>
    <w:p>
      <w:pPr>
        <w:pStyle w:val="2"/>
        <w:spacing w:before="288" w:line="219" w:lineRule="auto"/>
        <w:ind w:left="51"/>
        <w:outlineLvl w:val="0"/>
      </w:pPr>
      <w:r>
        <w:rPr>
          <w:b/>
          <w:bCs/>
          <w:spacing w:val="-20"/>
        </w:rPr>
        <w:t>三、</w:t>
      </w:r>
      <w:r>
        <w:rPr>
          <w:spacing w:val="79"/>
        </w:rPr>
        <w:t xml:space="preserve"> </w:t>
      </w:r>
      <w:r>
        <w:rPr>
          <w:b/>
          <w:bCs/>
          <w:spacing w:val="-20"/>
        </w:rPr>
        <w:t>业务学习</w:t>
      </w:r>
    </w:p>
    <w:p>
      <w:pPr>
        <w:pStyle w:val="2"/>
        <w:spacing w:line="240" w:lineRule="auto"/>
        <w:ind w:left="0" w:firstLine="560" w:firstLineChars="200"/>
        <w:rPr>
          <w:rFonts w:hint="eastAsia"/>
          <w:spacing w:val="5"/>
          <w:position w:val="26"/>
          <w:lang w:val="en-US" w:eastAsia="zh-CN"/>
        </w:rPr>
      </w:pPr>
      <w:r>
        <w:rPr>
          <w:spacing w:val="5"/>
          <w:position w:val="26"/>
        </w:rPr>
        <w:t>1. 每</w:t>
      </w:r>
      <w:r>
        <w:rPr>
          <w:rFonts w:hint="eastAsia"/>
          <w:spacing w:val="5"/>
          <w:position w:val="26"/>
          <w:lang w:val="en-US" w:eastAsia="zh-CN"/>
        </w:rPr>
        <w:t>2</w:t>
      </w:r>
      <w:r>
        <w:rPr>
          <w:spacing w:val="5"/>
          <w:position w:val="26"/>
        </w:rPr>
        <w:t>周一次，举办由科主任、副主任医师</w:t>
      </w:r>
      <w:r>
        <w:rPr>
          <w:rFonts w:hint="eastAsia"/>
          <w:spacing w:val="5"/>
          <w:position w:val="26"/>
          <w:lang w:eastAsia="zh-CN"/>
        </w:rPr>
        <w:t>、</w:t>
      </w:r>
      <w:r>
        <w:rPr>
          <w:rFonts w:hint="eastAsia"/>
          <w:spacing w:val="5"/>
          <w:position w:val="26"/>
          <w:lang w:val="en-US" w:eastAsia="zh-CN"/>
        </w:rPr>
        <w:t>高年资主治医师</w:t>
      </w:r>
      <w:r>
        <w:rPr>
          <w:spacing w:val="5"/>
          <w:position w:val="26"/>
        </w:rPr>
        <w:t>等</w:t>
      </w:r>
      <w:r>
        <w:rPr>
          <w:rFonts w:hint="eastAsia"/>
          <w:spacing w:val="5"/>
          <w:position w:val="26"/>
          <w:lang w:val="en-US" w:eastAsia="zh-CN"/>
        </w:rPr>
        <w:t>作为</w:t>
      </w:r>
    </w:p>
    <w:p>
      <w:pPr>
        <w:pStyle w:val="2"/>
        <w:spacing w:line="240" w:lineRule="auto"/>
        <w:ind w:left="0" w:firstLine="0" w:firstLineChars="0"/>
        <w:rPr>
          <w:rFonts w:ascii="Arial"/>
          <w:sz w:val="21"/>
        </w:rPr>
      </w:pPr>
      <w:r>
        <w:rPr>
          <w:rFonts w:hint="eastAsia"/>
          <w:spacing w:val="5"/>
          <w:position w:val="26"/>
          <w:lang w:val="en-US" w:eastAsia="zh-CN"/>
        </w:rPr>
        <w:t>主讲人的科内讲座，讲授指南、专家共识、诊疗规范及最新进展等；</w:t>
      </w:r>
    </w:p>
    <w:p>
      <w:pPr>
        <w:pStyle w:val="2"/>
        <w:spacing w:line="240" w:lineRule="auto"/>
        <w:ind w:left="0" w:firstLine="560" w:firstLineChars="200"/>
        <w:rPr>
          <w:rFonts w:hint="eastAsia"/>
          <w:spacing w:val="5"/>
          <w:position w:val="26"/>
          <w:lang w:val="en-US" w:eastAsia="zh-CN"/>
        </w:rPr>
      </w:pPr>
      <w:bookmarkStart w:id="8" w:name="bookmark9"/>
      <w:bookmarkEnd w:id="8"/>
      <w:bookmarkStart w:id="9" w:name="bookmark11"/>
      <w:bookmarkEnd w:id="9"/>
      <w:bookmarkStart w:id="10" w:name="bookmark10"/>
      <w:bookmarkEnd w:id="10"/>
      <w:r>
        <w:rPr>
          <w:rFonts w:hint="eastAsia"/>
          <w:spacing w:val="5"/>
          <w:position w:val="26"/>
          <w:lang w:val="en-US" w:eastAsia="zh-CN"/>
        </w:rPr>
        <w:t>2.定期</w:t>
      </w:r>
      <w:r>
        <w:rPr>
          <w:spacing w:val="5"/>
          <w:position w:val="26"/>
        </w:rPr>
        <w:t>安排科内高年资主治</w:t>
      </w:r>
      <w:r>
        <w:rPr>
          <w:rFonts w:hint="eastAsia"/>
          <w:spacing w:val="5"/>
          <w:position w:val="26"/>
          <w:lang w:val="en-US" w:eastAsia="zh-CN"/>
        </w:rPr>
        <w:t>以上</w:t>
      </w:r>
      <w:r>
        <w:rPr>
          <w:spacing w:val="5"/>
          <w:position w:val="26"/>
        </w:rPr>
        <w:t>医师组织新知识介绍及疑难</w:t>
      </w:r>
      <w:r>
        <w:rPr>
          <w:rFonts w:hint="eastAsia"/>
          <w:spacing w:val="5"/>
          <w:position w:val="26"/>
          <w:lang w:val="en-US" w:eastAsia="zh-CN"/>
        </w:rPr>
        <w:t>病例讨论；</w:t>
      </w:r>
    </w:p>
    <w:p>
      <w:pPr>
        <w:pStyle w:val="2"/>
        <w:spacing w:line="240" w:lineRule="auto"/>
        <w:ind w:left="0" w:firstLine="560" w:firstLineChars="200"/>
        <w:rPr>
          <w:spacing w:val="5"/>
          <w:position w:val="26"/>
        </w:rPr>
      </w:pPr>
      <w:r>
        <w:rPr>
          <w:spacing w:val="5"/>
          <w:position w:val="26"/>
        </w:rPr>
        <w:t>3. 各亚专业组带教老师结合病种，自行安排小讲课。</w:t>
      </w:r>
    </w:p>
    <w:p>
      <w:pPr>
        <w:pStyle w:val="2"/>
        <w:spacing w:before="267" w:line="219" w:lineRule="auto"/>
        <w:ind w:left="238"/>
        <w:outlineLvl w:val="0"/>
        <w:rPr>
          <w:b/>
          <w:bCs/>
          <w:spacing w:val="-16"/>
          <w:sz w:val="26"/>
          <w:szCs w:val="26"/>
        </w:rPr>
      </w:pPr>
    </w:p>
    <w:p>
      <w:pPr>
        <w:pStyle w:val="2"/>
        <w:spacing w:before="267" w:line="219" w:lineRule="auto"/>
        <w:ind w:left="238"/>
        <w:outlineLvl w:val="0"/>
        <w:rPr>
          <w:b/>
          <w:bCs/>
          <w:spacing w:val="-16"/>
          <w:sz w:val="26"/>
          <w:szCs w:val="26"/>
        </w:rPr>
      </w:pPr>
      <w:bookmarkStart w:id="11" w:name="_GoBack"/>
      <w:bookmarkEnd w:id="11"/>
    </w:p>
    <w:p>
      <w:pPr>
        <w:pStyle w:val="2"/>
        <w:spacing w:before="267" w:line="219" w:lineRule="auto"/>
        <w:ind w:left="238"/>
        <w:outlineLvl w:val="0"/>
        <w:rPr>
          <w:b/>
          <w:bCs/>
          <w:spacing w:val="-16"/>
          <w:sz w:val="26"/>
          <w:szCs w:val="26"/>
        </w:rPr>
      </w:pPr>
    </w:p>
    <w:p>
      <w:pPr>
        <w:pStyle w:val="2"/>
        <w:spacing w:before="267" w:line="219" w:lineRule="auto"/>
        <w:ind w:left="238"/>
        <w:outlineLvl w:val="0"/>
        <w:rPr>
          <w:sz w:val="26"/>
          <w:szCs w:val="26"/>
        </w:rPr>
      </w:pPr>
      <w:r>
        <w:rPr>
          <w:b/>
          <w:bCs/>
          <w:spacing w:val="-16"/>
          <w:sz w:val="26"/>
          <w:szCs w:val="26"/>
        </w:rPr>
        <w:t>四、</w:t>
      </w:r>
      <w:r>
        <w:rPr>
          <w:spacing w:val="91"/>
          <w:sz w:val="26"/>
          <w:szCs w:val="26"/>
        </w:rPr>
        <w:t xml:space="preserve"> </w:t>
      </w:r>
      <w:r>
        <w:rPr>
          <w:b/>
          <w:bCs/>
          <w:spacing w:val="-16"/>
          <w:sz w:val="26"/>
          <w:szCs w:val="26"/>
        </w:rPr>
        <w:t>操作示教</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1、  完成日常工作的前提下，尽量创造条件让进修医生独立操作</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检查病人，老师复核讲解。</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尽量根据进修医生的需求，安排新病人的放射治疗计划制定及</w:t>
      </w:r>
    </w:p>
    <w:p>
      <w:pPr>
        <w:pStyle w:val="2"/>
        <w:spacing w:line="240" w:lineRule="auto"/>
        <w:ind w:left="0" w:firstLine="560" w:firstLineChars="200"/>
        <w:rPr>
          <w:rFonts w:hint="default"/>
          <w:spacing w:val="5"/>
          <w:position w:val="26"/>
          <w:lang w:val="en-US" w:eastAsia="zh-CN"/>
        </w:rPr>
      </w:pPr>
      <w:r>
        <w:rPr>
          <w:rFonts w:hint="eastAsia"/>
          <w:spacing w:val="5"/>
          <w:position w:val="26"/>
          <w:lang w:val="en-US" w:eastAsia="zh-CN"/>
        </w:rPr>
        <w:t>靶区勾画、计划评估、二维后装操作等。</w:t>
      </w:r>
    </w:p>
    <w:p>
      <w:pPr>
        <w:pStyle w:val="2"/>
        <w:spacing w:before="300" w:line="219" w:lineRule="auto"/>
        <w:ind w:left="238"/>
        <w:outlineLvl w:val="0"/>
        <w:rPr>
          <w:rFonts w:hint="default" w:eastAsia="宋体"/>
          <w:sz w:val="26"/>
          <w:szCs w:val="26"/>
          <w:lang w:val="en-US" w:eastAsia="zh-CN"/>
        </w:rPr>
      </w:pPr>
      <w:r>
        <w:rPr>
          <w:b/>
          <w:bCs/>
          <w:spacing w:val="-14"/>
          <w:sz w:val="26"/>
          <w:szCs w:val="26"/>
        </w:rPr>
        <w:t>五、</w:t>
      </w:r>
      <w:r>
        <w:rPr>
          <w:spacing w:val="60"/>
          <w:sz w:val="26"/>
          <w:szCs w:val="26"/>
        </w:rPr>
        <w:t xml:space="preserve"> </w:t>
      </w:r>
      <w:r>
        <w:rPr>
          <w:b/>
          <w:bCs/>
          <w:spacing w:val="-14"/>
          <w:sz w:val="26"/>
          <w:szCs w:val="26"/>
        </w:rPr>
        <w:t>继续教育</w:t>
      </w:r>
      <w:r>
        <w:rPr>
          <w:rFonts w:hint="eastAsia"/>
          <w:b/>
          <w:bCs/>
          <w:spacing w:val="-14"/>
          <w:sz w:val="26"/>
          <w:szCs w:val="26"/>
          <w:lang w:val="en-US" w:eastAsia="zh-CN"/>
        </w:rPr>
        <w:t xml:space="preserve">   </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1. 鼓励进修医师参加或旁听医院举办的各种继续教育学习班</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2. 向进修医师推送放射治疗各学习班的教材；</w:t>
      </w:r>
    </w:p>
    <w:p>
      <w:pPr>
        <w:pStyle w:val="2"/>
        <w:spacing w:before="320" w:line="219" w:lineRule="auto"/>
        <w:ind w:left="238"/>
        <w:outlineLvl w:val="0"/>
        <w:rPr>
          <w:sz w:val="26"/>
          <w:szCs w:val="26"/>
        </w:rPr>
      </w:pPr>
      <w:r>
        <w:rPr>
          <w:b/>
          <w:bCs/>
          <w:spacing w:val="-16"/>
          <w:sz w:val="26"/>
          <w:szCs w:val="26"/>
        </w:rPr>
        <w:t>六、</w:t>
      </w:r>
      <w:r>
        <w:rPr>
          <w:spacing w:val="91"/>
          <w:sz w:val="26"/>
          <w:szCs w:val="26"/>
        </w:rPr>
        <w:t xml:space="preserve"> </w:t>
      </w:r>
      <w:r>
        <w:rPr>
          <w:b/>
          <w:bCs/>
          <w:spacing w:val="-16"/>
          <w:sz w:val="26"/>
          <w:szCs w:val="26"/>
        </w:rPr>
        <w:t>考核考评</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1. 进修生结束前按照教育处要求，填写好进修生考核记录手册；</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2. 进修结束时，由带教科室进行理论考试，试卷交教育处备案；</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3. 由科主任任命考核老师，对进修医师进行技能操作考核，保留</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试卷原件，试卷上须有考核老师评卷痕迹、分数，签名并注明日期；</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4. 进修生进修结束后应对其所学内容进行概括总结、并制作 PPT</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于科内演讲。</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5. 由科主任及带教医师对进修医师平时的职业道德、劳动纪律、</w:t>
      </w:r>
    </w:p>
    <w:p>
      <w:pPr>
        <w:pStyle w:val="2"/>
        <w:spacing w:line="240" w:lineRule="auto"/>
        <w:ind w:left="0" w:firstLine="560" w:firstLineChars="200"/>
        <w:rPr>
          <w:rFonts w:hint="eastAsia"/>
          <w:spacing w:val="5"/>
          <w:position w:val="26"/>
          <w:lang w:val="en-US" w:eastAsia="zh-CN"/>
        </w:rPr>
      </w:pPr>
      <w:r>
        <w:rPr>
          <w:rFonts w:hint="eastAsia"/>
          <w:spacing w:val="5"/>
          <w:position w:val="26"/>
          <w:lang w:val="en-US" w:eastAsia="zh-CN"/>
        </w:rPr>
        <w:t>临床操作能力等作出评分。</w:t>
      </w:r>
    </w:p>
    <w:p>
      <w:pPr>
        <w:pStyle w:val="2"/>
        <w:spacing w:line="240" w:lineRule="auto"/>
        <w:ind w:left="0" w:firstLine="560" w:firstLineChars="200"/>
        <w:rPr>
          <w:rFonts w:hint="eastAsia"/>
          <w:spacing w:val="5"/>
          <w:position w:val="26"/>
          <w:lang w:val="en-US" w:eastAsia="zh-CN"/>
        </w:rPr>
      </w:pPr>
    </w:p>
    <w:p>
      <w:pPr>
        <w:pStyle w:val="2"/>
        <w:spacing w:line="240" w:lineRule="auto"/>
        <w:ind w:left="0" w:firstLine="560" w:firstLineChars="200"/>
        <w:rPr>
          <w:rFonts w:hint="eastAsia"/>
          <w:spacing w:val="5"/>
          <w:position w:val="26"/>
          <w:lang w:val="en-US" w:eastAsia="zh-CN"/>
        </w:rPr>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spacing w:line="93" w:lineRule="exact"/>
      </w:pPr>
    </w:p>
    <w:p>
      <w:pPr>
        <w:pStyle w:val="2"/>
        <w:spacing w:before="108" w:line="219" w:lineRule="auto"/>
        <w:ind w:firstLine="643" w:firstLineChars="200"/>
        <w:rPr>
          <w:rFonts w:hint="eastAsia"/>
          <w:b/>
          <w:bCs/>
          <w:sz w:val="32"/>
          <w:szCs w:val="32"/>
          <w:lang w:val="en-US" w:eastAsia="zh-CN"/>
        </w:rPr>
      </w:pPr>
      <w:r>
        <w:rPr>
          <w:rFonts w:hint="eastAsia" w:eastAsia="宋体"/>
          <w:b/>
          <w:bCs/>
          <w:sz w:val="32"/>
          <w:szCs w:val="32"/>
          <w:lang w:val="en-US" w:eastAsia="zh-CN"/>
        </w:rPr>
        <w:t>科主任签批：</w:t>
      </w:r>
      <w:r>
        <w:rPr>
          <w:rFonts w:hint="eastAsia"/>
          <w:b/>
          <w:bCs/>
          <w:sz w:val="32"/>
          <w:szCs w:val="32"/>
          <w:lang w:val="en-US" w:eastAsia="zh-CN"/>
        </w:rPr>
        <w:t xml:space="preserve">                          签批时间：</w:t>
      </w:r>
    </w:p>
    <w:p>
      <w:pPr>
        <w:pStyle w:val="2"/>
        <w:spacing w:before="108" w:line="219" w:lineRule="auto"/>
        <w:ind w:firstLine="643" w:firstLineChars="200"/>
        <w:rPr>
          <w:rFonts w:hint="eastAsia"/>
          <w:b/>
          <w:bCs/>
          <w:sz w:val="32"/>
          <w:szCs w:val="32"/>
          <w:lang w:val="en-US" w:eastAsia="zh-CN"/>
        </w:rPr>
      </w:pPr>
    </w:p>
    <w:p>
      <w:pPr>
        <w:pStyle w:val="2"/>
        <w:spacing w:before="108" w:line="219" w:lineRule="auto"/>
        <w:ind w:firstLine="643" w:firstLineChars="200"/>
        <w:rPr>
          <w:rFonts w:hint="eastAsia"/>
          <w:b/>
          <w:bCs/>
          <w:sz w:val="32"/>
          <w:szCs w:val="32"/>
          <w:lang w:val="en-US" w:eastAsia="zh-CN"/>
        </w:rPr>
      </w:pPr>
    </w:p>
    <w:p>
      <w:pPr>
        <w:pStyle w:val="2"/>
        <w:spacing w:before="108" w:line="219" w:lineRule="auto"/>
        <w:ind w:firstLine="643" w:firstLineChars="200"/>
        <w:rPr>
          <w:rFonts w:hint="eastAsia"/>
          <w:b/>
          <w:bCs/>
          <w:sz w:val="32"/>
          <w:szCs w:val="32"/>
          <w:lang w:val="en-US" w:eastAsia="zh-CN"/>
        </w:rPr>
      </w:pPr>
    </w:p>
    <w:p>
      <w:pPr>
        <w:pStyle w:val="2"/>
        <w:spacing w:before="108" w:line="219" w:lineRule="auto"/>
        <w:rPr>
          <w:rFonts w:hint="default"/>
          <w:b/>
          <w:bCs/>
          <w:sz w:val="32"/>
          <w:szCs w:val="32"/>
          <w:lang w:val="en-US" w:eastAsia="zh-CN"/>
        </w:rPr>
      </w:pPr>
    </w:p>
    <w:sectPr>
      <w:type w:val="continuous"/>
      <w:pgSz w:w="11900" w:h="16840"/>
      <w:pgMar w:top="1127" w:right="320" w:bottom="256" w:left="1785" w:header="0" w:footer="0" w:gutter="0"/>
      <w:pgNumType w:fmt="decimal"/>
      <w:cols w:equalWidth="0" w:num="1">
        <w:col w:w="97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eastAsia="宋体"/>
        <w:sz w:val="2"/>
        <w:lang w:val="en-US" w:eastAsia="zh-CN"/>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sz w:val="2"/>
        <w:lang w:val="en-US" w:eastAsia="zh-CN"/>
      </w:rPr>
      <w:t>1111</w:t>
    </w:r>
  </w:p>
  <w:p>
    <w:pPr>
      <w:spacing w:line="14" w:lineRule="auto"/>
      <w:rPr>
        <w:rFonts w:hint="default" w:eastAsia="宋体"/>
        <w:sz w:val="2"/>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eastAsia="宋体"/>
        <w:sz w:val="2"/>
        <w:lang w:val="en-US" w:eastAsia="zh-C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079DE"/>
    <w:multiLevelType w:val="singleLevel"/>
    <w:tmpl w:val="BFB079D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Y1NzA1ZTM5N2U2MTY3MWU5ZjkyOTFiMGQwZTZhYzEifQ=="/>
  </w:docVars>
  <w:rsids>
    <w:rsidRoot w:val="00000000"/>
    <w:rsid w:val="01C506B1"/>
    <w:rsid w:val="04904FA7"/>
    <w:rsid w:val="05E732EC"/>
    <w:rsid w:val="073F77E1"/>
    <w:rsid w:val="098B0432"/>
    <w:rsid w:val="09967E08"/>
    <w:rsid w:val="0FED59A3"/>
    <w:rsid w:val="1293358F"/>
    <w:rsid w:val="1711641B"/>
    <w:rsid w:val="1C9D24FF"/>
    <w:rsid w:val="21076199"/>
    <w:rsid w:val="30760C45"/>
    <w:rsid w:val="322C1F03"/>
    <w:rsid w:val="337C2A16"/>
    <w:rsid w:val="34A246FE"/>
    <w:rsid w:val="357C0AAC"/>
    <w:rsid w:val="35812566"/>
    <w:rsid w:val="362A2997"/>
    <w:rsid w:val="3B765F9D"/>
    <w:rsid w:val="3C7D0AC3"/>
    <w:rsid w:val="3F6A406B"/>
    <w:rsid w:val="40A52D69"/>
    <w:rsid w:val="427A2817"/>
    <w:rsid w:val="47EA523D"/>
    <w:rsid w:val="47FB1D04"/>
    <w:rsid w:val="530323B4"/>
    <w:rsid w:val="53E87EF8"/>
    <w:rsid w:val="561623FF"/>
    <w:rsid w:val="5753390A"/>
    <w:rsid w:val="634E0BA1"/>
    <w:rsid w:val="650E70C3"/>
    <w:rsid w:val="664803B2"/>
    <w:rsid w:val="680B5B3B"/>
    <w:rsid w:val="71BE4BDA"/>
    <w:rsid w:val="71CE0991"/>
    <w:rsid w:val="73B452D9"/>
    <w:rsid w:val="73FC0A2E"/>
    <w:rsid w:val="7A6510DB"/>
    <w:rsid w:val="7DDE9AF4"/>
    <w:rsid w:val="7EF42A2E"/>
    <w:rsid w:val="B7E78CF7"/>
    <w:rsid w:val="DF979D20"/>
    <w:rsid w:val="EF6DB3E5"/>
    <w:rsid w:val="EF6F000B"/>
    <w:rsid w:val="FEFE4D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7"/>
      <w:szCs w:val="27"/>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2024-02-29T16:23:00Z</dcterms:created>
  <dc:creator>Kingsoft-PDF</dc:creator>
  <cp:lastModifiedBy>如果你也听说。</cp:lastModifiedBy>
  <dcterms:modified xsi:type="dcterms:W3CDTF">2024-04-08T01:00:27Z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2024-02-28T16:23:12Z</vt:filetime>
  </property>
  <property fmtid="{D5CDD505-2E9C-101B-9397-08002B2CF9AE}" pid="4" name="UsrData">
    <vt:lpwstr>65deed6aa5d5df001fda7a15wl</vt:lpwstr>
  </property>
  <property fmtid="{D5CDD505-2E9C-101B-9397-08002B2CF9AE}" pid="5" name="KSOProductBuildVer">
    <vt:lpwstr>2052-12.1.0.16417</vt:lpwstr>
  </property>
  <property fmtid="{D5CDD505-2E9C-101B-9397-08002B2CF9AE}" pid="6" name="ICV">
    <vt:lpwstr>4501AA51859D44319070099F8EEBBBA1_13</vt:lpwstr>
  </property>
</Properties>
</file>